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1E3D8" w14:textId="409A47EA" w:rsidR="00FB4E76" w:rsidRDefault="003872A6" w:rsidP="00EF549D">
      <w:pPr>
        <w:spacing w:after="120" w:line="240" w:lineRule="auto"/>
        <w:jc w:val="center"/>
        <w:outlineLvl w:val="1"/>
        <w:rPr>
          <w:rFonts w:cstheme="minorHAnsi"/>
          <w:b/>
          <w:sz w:val="28"/>
        </w:rPr>
      </w:pPr>
      <w:bookmarkStart w:id="0" w:name="_Toc443944077"/>
      <w:r>
        <w:rPr>
          <w:rFonts w:cstheme="minorHAnsi"/>
          <w:b/>
          <w:sz w:val="28"/>
        </w:rPr>
        <w:t xml:space="preserve">Policy </w:t>
      </w:r>
      <w:bookmarkStart w:id="1" w:name="_Hlk499665287"/>
      <w:bookmarkEnd w:id="0"/>
      <w:r w:rsidR="00994B8C">
        <w:rPr>
          <w:rFonts w:cstheme="minorHAnsi"/>
          <w:b/>
          <w:sz w:val="28"/>
        </w:rPr>
        <w:t>on</w:t>
      </w:r>
      <w:r w:rsidR="009D2ED4">
        <w:rPr>
          <w:rFonts w:cstheme="minorHAnsi"/>
          <w:b/>
          <w:sz w:val="28"/>
        </w:rPr>
        <w:t xml:space="preserve"> </w:t>
      </w:r>
      <w:r w:rsidR="00E8101D">
        <w:rPr>
          <w:rFonts w:cstheme="minorHAnsi"/>
          <w:b/>
          <w:sz w:val="28"/>
        </w:rPr>
        <w:t>Board</w:t>
      </w:r>
      <w:r w:rsidR="009D2ED4">
        <w:rPr>
          <w:rFonts w:cstheme="minorHAnsi"/>
          <w:b/>
          <w:sz w:val="28"/>
        </w:rPr>
        <w:t xml:space="preserve"> Policy Governance </w:t>
      </w:r>
    </w:p>
    <w:p w14:paraId="62BEB141" w14:textId="7E8A7DA2" w:rsidR="00EF549D" w:rsidRPr="00EF549D" w:rsidRDefault="00EF549D" w:rsidP="00EF549D">
      <w:pPr>
        <w:spacing w:after="240" w:line="240" w:lineRule="auto"/>
        <w:jc w:val="center"/>
        <w:outlineLvl w:val="2"/>
        <w:rPr>
          <w:b/>
          <w:sz w:val="24"/>
        </w:rPr>
      </w:pPr>
      <w:r w:rsidRPr="00EF549D">
        <w:rPr>
          <w:b/>
          <w:sz w:val="24"/>
        </w:rPr>
        <w:t>Effective Date:</w:t>
      </w:r>
      <w:r w:rsidR="00CC33FC">
        <w:rPr>
          <w:b/>
          <w:sz w:val="24"/>
        </w:rPr>
        <w:t xml:space="preserve"> June 2019</w:t>
      </w:r>
      <w:bookmarkStart w:id="2" w:name="_GoBack"/>
      <w:bookmarkEnd w:id="2"/>
    </w:p>
    <w:tbl>
      <w:tblPr>
        <w:tblStyle w:val="TableGrid"/>
        <w:tblW w:w="99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72" w:type="dxa"/>
          <w:bottom w:w="101" w:type="dxa"/>
          <w:right w:w="72" w:type="dxa"/>
        </w:tblCellMar>
        <w:tblLook w:val="04A0" w:firstRow="1" w:lastRow="0" w:firstColumn="1" w:lastColumn="0" w:noHBand="0" w:noVBand="1"/>
      </w:tblPr>
      <w:tblGrid>
        <w:gridCol w:w="2628"/>
        <w:gridCol w:w="7344"/>
      </w:tblGrid>
      <w:tr w:rsidR="00014308" w:rsidRPr="00014308" w14:paraId="44B9856A" w14:textId="77777777" w:rsidTr="3AAFBEB3">
        <w:trPr>
          <w:cantSplit/>
        </w:trPr>
        <w:tc>
          <w:tcPr>
            <w:tcW w:w="2628" w:type="dxa"/>
          </w:tcPr>
          <w:bookmarkEnd w:id="1"/>
          <w:p w14:paraId="48A2F802" w14:textId="36BBCC61" w:rsidR="00014308" w:rsidRPr="005B03DF" w:rsidRDefault="005C128F" w:rsidP="005B03DF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sz w:val="24"/>
              </w:rPr>
            </w:pPr>
            <w:r w:rsidRPr="005B03DF">
              <w:rPr>
                <w:b/>
                <w:sz w:val="24"/>
              </w:rPr>
              <w:t>Purpose and Scope</w:t>
            </w:r>
          </w:p>
        </w:tc>
        <w:tc>
          <w:tcPr>
            <w:tcW w:w="7344" w:type="dxa"/>
          </w:tcPr>
          <w:p w14:paraId="2F11460F" w14:textId="7B9F4D4B" w:rsidR="00014308" w:rsidRPr="00014308" w:rsidRDefault="00CF46EA" w:rsidP="00B006F6">
            <w:pPr>
              <w:spacing w:before="120"/>
            </w:pPr>
            <w:r>
              <w:t xml:space="preserve">The purpose of this policy is to provide guidance on the development and approval of Institute policies. </w:t>
            </w:r>
          </w:p>
        </w:tc>
      </w:tr>
      <w:tr w:rsidR="00CF46EA" w:rsidRPr="00014308" w14:paraId="510936BB" w14:textId="77777777" w:rsidTr="3AAFBEB3">
        <w:trPr>
          <w:cantSplit/>
        </w:trPr>
        <w:tc>
          <w:tcPr>
            <w:tcW w:w="2628" w:type="dxa"/>
          </w:tcPr>
          <w:p w14:paraId="51FF4097" w14:textId="128E4ED5" w:rsidR="00CF46EA" w:rsidRDefault="00CF46EA" w:rsidP="005B03DF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sz w:val="24"/>
              </w:rPr>
            </w:pPr>
            <w:r>
              <w:rPr>
                <w:b/>
                <w:sz w:val="24"/>
              </w:rPr>
              <w:t>Purpose and Function of Institute Policies</w:t>
            </w:r>
          </w:p>
        </w:tc>
        <w:tc>
          <w:tcPr>
            <w:tcW w:w="7344" w:type="dxa"/>
          </w:tcPr>
          <w:p w14:paraId="1DE41741" w14:textId="77777777" w:rsidR="00CF46EA" w:rsidRDefault="00CF46EA" w:rsidP="00CF46EA">
            <w:pPr>
              <w:spacing w:before="120"/>
            </w:pPr>
            <w:r>
              <w:t>The purpose of the Institute Policies is to guide the decisions and actions of all Institute elected officials, members, and staff, acting individually or in a group.</w:t>
            </w:r>
          </w:p>
          <w:p w14:paraId="485DC988" w14:textId="525CE963" w:rsidR="00CF46EA" w:rsidRDefault="00CF46EA" w:rsidP="00CF46EA">
            <w:pPr>
              <w:spacing w:before="120"/>
            </w:pPr>
            <w:r>
              <w:t>The policies are intended to complete and further clarify Institute Bylaws.</w:t>
            </w:r>
          </w:p>
        </w:tc>
      </w:tr>
      <w:tr w:rsidR="009A57B0" w:rsidRPr="00014308" w14:paraId="327EB055" w14:textId="77777777" w:rsidTr="3AAFBEB3">
        <w:trPr>
          <w:cantSplit/>
        </w:trPr>
        <w:tc>
          <w:tcPr>
            <w:tcW w:w="2628" w:type="dxa"/>
          </w:tcPr>
          <w:p w14:paraId="33FBDEB1" w14:textId="77777777" w:rsidR="009A57B0" w:rsidRDefault="009A57B0" w:rsidP="005B03DF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Principles of Policy Development and Implementation </w:t>
            </w:r>
          </w:p>
        </w:tc>
        <w:tc>
          <w:tcPr>
            <w:tcW w:w="7344" w:type="dxa"/>
          </w:tcPr>
          <w:p w14:paraId="29FB3F71" w14:textId="18741336" w:rsidR="009A57B0" w:rsidRDefault="3AAFBEB3" w:rsidP="3AAFBEB3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3AAFBEB3">
              <w:rPr>
                <w:rFonts w:ascii="Calibri" w:hAnsi="Calibri" w:cs="Calibri"/>
              </w:rPr>
              <w:t xml:space="preserve">Institute policies focus on </w:t>
            </w:r>
            <w:r w:rsidRPr="3AAFBEB3">
              <w:rPr>
                <w:rFonts w:ascii="Calibri-Bold" w:hAnsi="Calibri-Bold" w:cs="Calibri-Bold"/>
                <w:b/>
                <w:bCs/>
              </w:rPr>
              <w:t xml:space="preserve">purpose </w:t>
            </w:r>
            <w:r w:rsidRPr="3AAFBEB3">
              <w:rPr>
                <w:rFonts w:ascii="Calibri" w:hAnsi="Calibri" w:cs="Calibri"/>
              </w:rPr>
              <w:t xml:space="preserve">and </w:t>
            </w:r>
            <w:r w:rsidRPr="3AAFBEB3">
              <w:rPr>
                <w:rFonts w:ascii="Calibri-Bold" w:hAnsi="Calibri-Bold" w:cs="Calibri-Bold"/>
                <w:b/>
                <w:bCs/>
              </w:rPr>
              <w:t>values</w:t>
            </w:r>
            <w:r w:rsidRPr="3AAFBEB3">
              <w:rPr>
                <w:rFonts w:ascii="Calibri" w:hAnsi="Calibri" w:cs="Calibri"/>
              </w:rPr>
              <w:t xml:space="preserve">, not procedures, other than in exceptional </w:t>
            </w:r>
            <w:r>
              <w:t>cases</w:t>
            </w:r>
            <w:r w:rsidRPr="3AAFBEB3">
              <w:rPr>
                <w:rFonts w:ascii="Calibri" w:hAnsi="Calibri" w:cs="Calibri"/>
              </w:rPr>
              <w:t xml:space="preserve"> where specific procedures are essential to achieve the intent of the Board.</w:t>
            </w:r>
          </w:p>
          <w:p w14:paraId="2CD01E95" w14:textId="6FB4FE7B" w:rsidR="00B006F6" w:rsidRDefault="00B006F6" w:rsidP="00B006F6">
            <w:pPr>
              <w:spacing w:before="12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Institute</w:t>
            </w:r>
            <w:r w:rsidR="009A57B0">
              <w:rPr>
                <w:rFonts w:ascii="Calibri" w:hAnsi="Calibri" w:cs="Calibri"/>
                <w:szCs w:val="22"/>
              </w:rPr>
              <w:t xml:space="preserve"> </w:t>
            </w:r>
            <w:r w:rsidR="009A57B0" w:rsidRPr="00B006F6">
              <w:t>policies</w:t>
            </w:r>
            <w:r w:rsidR="009A57B0">
              <w:rPr>
                <w:rFonts w:ascii="Calibri" w:hAnsi="Calibri" w:cs="Calibri"/>
                <w:szCs w:val="22"/>
              </w:rPr>
              <w:t xml:space="preserve"> are developed and implemented in a spirit of </w:t>
            </w:r>
            <w:r w:rsidR="009A57B0">
              <w:rPr>
                <w:rFonts w:ascii="Calibri-Bold" w:hAnsi="Calibri-Bold" w:cs="Calibri-Bold"/>
                <w:b/>
                <w:bCs/>
                <w:szCs w:val="22"/>
              </w:rPr>
              <w:t>trust</w:t>
            </w:r>
            <w:r w:rsidR="009A57B0">
              <w:rPr>
                <w:rFonts w:ascii="Calibri" w:hAnsi="Calibri" w:cs="Calibri"/>
                <w:szCs w:val="22"/>
              </w:rPr>
              <w:t>. They focus on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="009A57B0">
              <w:rPr>
                <w:rFonts w:ascii="Calibri" w:hAnsi="Calibri" w:cs="Calibri"/>
                <w:szCs w:val="22"/>
              </w:rPr>
              <w:t>guiding rather than prescribing</w:t>
            </w:r>
            <w:r>
              <w:rPr>
                <w:rFonts w:ascii="Calibri" w:hAnsi="Calibri" w:cs="Calibri"/>
                <w:szCs w:val="22"/>
              </w:rPr>
              <w:t xml:space="preserve"> wherever possible</w:t>
            </w:r>
            <w:r w:rsidR="009A57B0">
              <w:rPr>
                <w:rFonts w:ascii="Calibri" w:hAnsi="Calibri" w:cs="Calibri"/>
                <w:szCs w:val="22"/>
              </w:rPr>
              <w:t>.</w:t>
            </w:r>
          </w:p>
          <w:p w14:paraId="345C390E" w14:textId="0D93B9AF" w:rsidR="00B006F6" w:rsidRDefault="00B006F6" w:rsidP="00B006F6">
            <w:pPr>
              <w:spacing w:before="12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Institute</w:t>
            </w:r>
            <w:r w:rsidR="009A57B0">
              <w:rPr>
                <w:rFonts w:ascii="Calibri" w:hAnsi="Calibri" w:cs="Calibri"/>
                <w:szCs w:val="22"/>
              </w:rPr>
              <w:t xml:space="preserve"> policies are </w:t>
            </w:r>
            <w:r w:rsidR="009A57B0">
              <w:rPr>
                <w:rFonts w:ascii="Calibri-Bold" w:hAnsi="Calibri-Bold" w:cs="Calibri-Bold"/>
                <w:b/>
                <w:bCs/>
                <w:szCs w:val="22"/>
              </w:rPr>
              <w:t>active documents that guide decisions and actions</w:t>
            </w:r>
            <w:r w:rsidR="009A57B0">
              <w:rPr>
                <w:rFonts w:ascii="Calibri" w:hAnsi="Calibri" w:cs="Calibri"/>
                <w:szCs w:val="22"/>
              </w:rPr>
              <w:t>. They are to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="009A57B0">
              <w:rPr>
                <w:rFonts w:ascii="Calibri" w:hAnsi="Calibri" w:cs="Calibri"/>
                <w:szCs w:val="22"/>
              </w:rPr>
              <w:t xml:space="preserve">be </w:t>
            </w:r>
            <w:r>
              <w:rPr>
                <w:rFonts w:ascii="Calibri" w:hAnsi="Calibri" w:cs="Calibri"/>
                <w:szCs w:val="22"/>
              </w:rPr>
              <w:t>includ</w:t>
            </w:r>
            <w:r w:rsidR="009A57B0">
              <w:rPr>
                <w:rFonts w:ascii="Calibri" w:hAnsi="Calibri" w:cs="Calibri"/>
                <w:szCs w:val="22"/>
              </w:rPr>
              <w:t>ed in all Board and President orientation activities and be accessible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="009A57B0">
              <w:rPr>
                <w:rFonts w:ascii="Calibri" w:hAnsi="Calibri" w:cs="Calibri"/>
                <w:szCs w:val="22"/>
              </w:rPr>
              <w:t>for easy reference at all times.</w:t>
            </w:r>
          </w:p>
          <w:p w14:paraId="7FE1D929" w14:textId="647D4210" w:rsidR="009A57B0" w:rsidRDefault="009A57B0" w:rsidP="00B006F6">
            <w:pPr>
              <w:spacing w:before="12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The Board exercises its </w:t>
            </w:r>
            <w:r>
              <w:rPr>
                <w:rFonts w:ascii="Calibri-Bold" w:hAnsi="Calibri-Bold" w:cs="Calibri-Bold"/>
                <w:b/>
                <w:bCs/>
                <w:szCs w:val="22"/>
              </w:rPr>
              <w:t xml:space="preserve">fiduciary responsibility </w:t>
            </w:r>
            <w:r>
              <w:rPr>
                <w:rFonts w:ascii="Calibri" w:hAnsi="Calibri" w:cs="Calibri"/>
                <w:szCs w:val="22"/>
              </w:rPr>
              <w:t>by monitoring the</w:t>
            </w:r>
          </w:p>
          <w:p w14:paraId="609AECE3" w14:textId="46D9F5F1" w:rsidR="009A57B0" w:rsidRDefault="009A57B0" w:rsidP="00B006F6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Cs w:val="22"/>
              </w:rPr>
              <w:t xml:space="preserve">implementation of the policies. </w:t>
            </w:r>
          </w:p>
        </w:tc>
      </w:tr>
      <w:tr w:rsidR="00014308" w:rsidRPr="00014308" w14:paraId="4708DAFA" w14:textId="77777777" w:rsidTr="3AAFBEB3">
        <w:trPr>
          <w:cantSplit/>
        </w:trPr>
        <w:tc>
          <w:tcPr>
            <w:tcW w:w="2628" w:type="dxa"/>
          </w:tcPr>
          <w:p w14:paraId="1C4016CA" w14:textId="522A96A5" w:rsidR="005B07E7" w:rsidRDefault="009A57B0" w:rsidP="005B03DF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sz w:val="24"/>
              </w:rPr>
            </w:pPr>
            <w:r>
              <w:rPr>
                <w:b/>
                <w:sz w:val="24"/>
              </w:rPr>
              <w:t>Policy Development</w:t>
            </w:r>
            <w:r w:rsidR="00B006F6">
              <w:rPr>
                <w:b/>
                <w:sz w:val="24"/>
              </w:rPr>
              <w:t xml:space="preserve"> and Approval</w:t>
            </w:r>
            <w:r w:rsidR="00E66901">
              <w:rPr>
                <w:b/>
                <w:sz w:val="24"/>
              </w:rPr>
              <w:t xml:space="preserve"> Process</w:t>
            </w:r>
          </w:p>
        </w:tc>
        <w:tc>
          <w:tcPr>
            <w:tcW w:w="7344" w:type="dxa"/>
          </w:tcPr>
          <w:p w14:paraId="13FE482A" w14:textId="6264625A" w:rsidR="009A57B0" w:rsidRDefault="009A57B0" w:rsidP="009A57B0">
            <w:pPr>
              <w:spacing w:before="120"/>
            </w:pPr>
            <w:r>
              <w:t xml:space="preserve">The Board of Directors drives </w:t>
            </w:r>
            <w:r w:rsidR="00B006F6">
              <w:t>the Institute’s</w:t>
            </w:r>
            <w:r>
              <w:t xml:space="preserve"> policy development and approval framework, based on the recommendations of the </w:t>
            </w:r>
            <w:r w:rsidR="0011112A">
              <w:t>Bylaws and Policies</w:t>
            </w:r>
            <w:r>
              <w:t xml:space="preserve"> Committee </w:t>
            </w:r>
            <w:r w:rsidR="0011112A">
              <w:t xml:space="preserve">(BLPC) </w:t>
            </w:r>
            <w:r>
              <w:t xml:space="preserve">with support of </w:t>
            </w:r>
            <w:r w:rsidR="00B006F6">
              <w:t>Institute</w:t>
            </w:r>
            <w:r>
              <w:t xml:space="preserve"> management and staff. The Board is the final approval authority for all Board policies.</w:t>
            </w:r>
          </w:p>
          <w:p w14:paraId="3EF3375A" w14:textId="7477E0A9" w:rsidR="0011112A" w:rsidRDefault="0011112A" w:rsidP="0011112A">
            <w:pPr>
              <w:spacing w:before="120"/>
            </w:pPr>
            <w:r>
              <w:t>The Board determines which committee or other body will be tasked to draft or amend Institute policies.</w:t>
            </w:r>
          </w:p>
          <w:p w14:paraId="61B710B5" w14:textId="3706D29D" w:rsidR="00014308" w:rsidRDefault="0011112A" w:rsidP="009A57B0">
            <w:pPr>
              <w:spacing w:before="120"/>
            </w:pPr>
            <w:r>
              <w:t>All policy drafts and amendments must be submitted to the BLPC for review before being brought to the Board for approval.</w:t>
            </w:r>
          </w:p>
        </w:tc>
      </w:tr>
      <w:tr w:rsidR="005B07E7" w:rsidRPr="00014308" w14:paraId="0A1DBD20" w14:textId="77777777" w:rsidTr="3AAFBEB3">
        <w:trPr>
          <w:cantSplit/>
        </w:trPr>
        <w:tc>
          <w:tcPr>
            <w:tcW w:w="2628" w:type="dxa"/>
          </w:tcPr>
          <w:p w14:paraId="244BE33B" w14:textId="4A7D4D75" w:rsidR="005B07E7" w:rsidRDefault="005B07E7" w:rsidP="005B03DF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sz w:val="24"/>
              </w:rPr>
            </w:pPr>
            <w:r>
              <w:rPr>
                <w:b/>
                <w:sz w:val="24"/>
              </w:rPr>
              <w:t>Policy Format</w:t>
            </w:r>
          </w:p>
        </w:tc>
        <w:tc>
          <w:tcPr>
            <w:tcW w:w="7344" w:type="dxa"/>
          </w:tcPr>
          <w:p w14:paraId="20B42628" w14:textId="1784FDA7" w:rsidR="005B07E7" w:rsidRDefault="005B07E7" w:rsidP="009A57B0">
            <w:pPr>
              <w:spacing w:before="120"/>
            </w:pPr>
            <w:r>
              <w:t xml:space="preserve">Each policy shall specify the effective date of the policy, which is the date of the latest </w:t>
            </w:r>
            <w:r w:rsidR="002E6516">
              <w:t>amendment</w:t>
            </w:r>
            <w:r>
              <w:t xml:space="preserve"> to the policy. </w:t>
            </w:r>
          </w:p>
          <w:p w14:paraId="0E59123F" w14:textId="32F0D24B" w:rsidR="005B07E7" w:rsidRDefault="005B07E7" w:rsidP="009A57B0">
            <w:pPr>
              <w:spacing w:before="120"/>
            </w:pPr>
            <w:r>
              <w:t xml:space="preserve">In addition, the source of the most recent </w:t>
            </w:r>
            <w:r w:rsidR="002E6516">
              <w:t>amendment</w:t>
            </w:r>
            <w:r>
              <w:t xml:space="preserve"> to a policy clause shall be identified under the title of the clause using the format (BoD, date) or (AGM, date). </w:t>
            </w:r>
          </w:p>
        </w:tc>
      </w:tr>
      <w:tr w:rsidR="00014308" w:rsidRPr="00014308" w14:paraId="26405BED" w14:textId="77777777" w:rsidTr="3AAFBEB3">
        <w:trPr>
          <w:cantSplit/>
        </w:trPr>
        <w:tc>
          <w:tcPr>
            <w:tcW w:w="2628" w:type="dxa"/>
          </w:tcPr>
          <w:p w14:paraId="68603965" w14:textId="62833198" w:rsidR="00014308" w:rsidRDefault="009A57B0" w:rsidP="005B03DF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Communication of Policies and </w:t>
            </w:r>
            <w:r w:rsidR="00E66901">
              <w:rPr>
                <w:b/>
                <w:sz w:val="24"/>
              </w:rPr>
              <w:t>Policy</w:t>
            </w:r>
            <w:r w:rsidR="002E6516">
              <w:rPr>
                <w:b/>
                <w:sz w:val="24"/>
              </w:rPr>
              <w:t xml:space="preserve"> Amendments</w:t>
            </w:r>
          </w:p>
        </w:tc>
        <w:tc>
          <w:tcPr>
            <w:tcW w:w="7344" w:type="dxa"/>
          </w:tcPr>
          <w:p w14:paraId="23F505D5" w14:textId="77777777" w:rsidR="00014308" w:rsidRDefault="00E66901" w:rsidP="00E0725A">
            <w:pPr>
              <w:spacing w:before="120"/>
            </w:pPr>
            <w:r>
              <w:t xml:space="preserve">All policies and policy changes approved by the Board are captured in the minutes of the Board, which are available to all Institute members and staff. </w:t>
            </w:r>
          </w:p>
          <w:p w14:paraId="4E86D904" w14:textId="4E2AE22E" w:rsidR="00E66901" w:rsidRDefault="00E66901" w:rsidP="00E0725A">
            <w:pPr>
              <w:spacing w:before="120"/>
            </w:pPr>
            <w:r>
              <w:t xml:space="preserve">Institute staff are responsible for publishing new and amended policies on the Institute website. </w:t>
            </w:r>
            <w:r w:rsidR="005B07E7">
              <w:t>Staff shall also post</w:t>
            </w:r>
            <w:r>
              <w:t xml:space="preserve"> an update notice on the website at the time of publication.</w:t>
            </w:r>
          </w:p>
        </w:tc>
      </w:tr>
      <w:tr w:rsidR="003C2307" w:rsidRPr="00014308" w14:paraId="6D0AB009" w14:textId="77777777" w:rsidTr="3AAFBEB3">
        <w:trPr>
          <w:cantSplit/>
        </w:trPr>
        <w:tc>
          <w:tcPr>
            <w:tcW w:w="2628" w:type="dxa"/>
          </w:tcPr>
          <w:p w14:paraId="3761EB9B" w14:textId="0BB9409D" w:rsidR="003C2307" w:rsidRDefault="00994B8C" w:rsidP="005B03DF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Review, </w:t>
            </w:r>
            <w:r w:rsidR="003C2307">
              <w:rPr>
                <w:b/>
                <w:sz w:val="24"/>
              </w:rPr>
              <w:t>Monitoring and Evaluation</w:t>
            </w:r>
            <w:r>
              <w:rPr>
                <w:b/>
                <w:sz w:val="24"/>
              </w:rPr>
              <w:t xml:space="preserve"> of Policies</w:t>
            </w:r>
          </w:p>
        </w:tc>
        <w:tc>
          <w:tcPr>
            <w:tcW w:w="7344" w:type="dxa"/>
          </w:tcPr>
          <w:p w14:paraId="42986FED" w14:textId="18DC13D8" w:rsidR="003C2307" w:rsidRDefault="00994B8C" w:rsidP="00E0725A">
            <w:pPr>
              <w:spacing w:before="120"/>
            </w:pPr>
            <w:r>
              <w:t xml:space="preserve">The BLPC shall be responsible for establishing a process for monitoring and evaluating the application of Institute policies, and shall report to the Board annually on its policy monitoring and evaluation activities. </w:t>
            </w:r>
          </w:p>
        </w:tc>
      </w:tr>
      <w:tr w:rsidR="005C358F" w:rsidRPr="00014308" w14:paraId="3FE02D99" w14:textId="77777777" w:rsidTr="3AAFBEB3">
        <w:trPr>
          <w:cantSplit/>
        </w:trPr>
        <w:tc>
          <w:tcPr>
            <w:tcW w:w="2628" w:type="dxa"/>
          </w:tcPr>
          <w:p w14:paraId="4E103A69" w14:textId="77777777" w:rsidR="005C358F" w:rsidRDefault="00E0725A" w:rsidP="005B03DF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sz w:val="24"/>
              </w:rPr>
            </w:pPr>
            <w:r>
              <w:rPr>
                <w:b/>
                <w:sz w:val="24"/>
              </w:rPr>
              <w:t>References</w:t>
            </w:r>
          </w:p>
        </w:tc>
        <w:tc>
          <w:tcPr>
            <w:tcW w:w="7344" w:type="dxa"/>
          </w:tcPr>
          <w:p w14:paraId="5F9DB2C6" w14:textId="4DF2053B" w:rsidR="00B3119A" w:rsidRDefault="00B3119A" w:rsidP="00E0725A">
            <w:pPr>
              <w:spacing w:before="120"/>
            </w:pPr>
            <w:r>
              <w:t>Bylaw 17.2 – By-Laws and Policies Committee</w:t>
            </w:r>
          </w:p>
        </w:tc>
      </w:tr>
    </w:tbl>
    <w:p w14:paraId="16420DFE" w14:textId="77777777" w:rsidR="003872A6" w:rsidRDefault="003872A6" w:rsidP="00D97C41">
      <w:pPr>
        <w:rPr>
          <w:rFonts w:cstheme="minorHAnsi"/>
          <w:sz w:val="24"/>
        </w:rPr>
      </w:pPr>
    </w:p>
    <w:p w14:paraId="7F1F80B8" w14:textId="77777777" w:rsidR="003872A6" w:rsidRDefault="003872A6">
      <w:pPr>
        <w:rPr>
          <w:rFonts w:cstheme="minorHAnsi"/>
          <w:sz w:val="24"/>
        </w:rPr>
      </w:pPr>
    </w:p>
    <w:sectPr w:rsidR="003872A6" w:rsidSect="005C358F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08" w:footer="576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F94C6" w14:textId="77777777" w:rsidR="00D229E7" w:rsidRDefault="00D229E7" w:rsidP="001C6CC8">
      <w:pPr>
        <w:spacing w:after="0" w:line="240" w:lineRule="auto"/>
      </w:pPr>
      <w:r>
        <w:separator/>
      </w:r>
    </w:p>
  </w:endnote>
  <w:endnote w:type="continuationSeparator" w:id="0">
    <w:p w14:paraId="3A5EA339" w14:textId="77777777" w:rsidR="00D229E7" w:rsidRDefault="00D229E7" w:rsidP="001C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51329" w14:textId="77777777" w:rsidR="009F76B7" w:rsidRPr="009F76B7" w:rsidRDefault="009F76B7">
    <w:pPr>
      <w:pStyle w:val="Footer"/>
      <w:rPr>
        <w:sz w:val="20"/>
      </w:rPr>
    </w:pPr>
    <w:r>
      <w:rPr>
        <w:sz w:val="20"/>
      </w:rPr>
      <w:t>Board Policy Manual</w:t>
    </w:r>
    <w:r>
      <w:rPr>
        <w:sz w:val="20"/>
      </w:rPr>
      <w:tab/>
    </w:r>
    <w:r>
      <w:rPr>
        <w:sz w:val="20"/>
      </w:rPr>
      <w:tab/>
    </w:r>
    <w:r w:rsidRPr="001E5B3B">
      <w:rPr>
        <w:color w:val="7F7F7F" w:themeColor="background1" w:themeShade="7F"/>
        <w:spacing w:val="60"/>
        <w:sz w:val="20"/>
      </w:rPr>
      <w:t>Page</w:t>
    </w:r>
    <w:r w:rsidRPr="001E5B3B">
      <w:rPr>
        <w:sz w:val="20"/>
      </w:rPr>
      <w:t xml:space="preserve"> | </w:t>
    </w:r>
    <w:r w:rsidRPr="001E5B3B">
      <w:rPr>
        <w:sz w:val="20"/>
      </w:rPr>
      <w:fldChar w:fldCharType="begin"/>
    </w:r>
    <w:r w:rsidRPr="001E5B3B">
      <w:rPr>
        <w:sz w:val="20"/>
      </w:rPr>
      <w:instrText xml:space="preserve"> PAGE   \* MERGEFORMAT </w:instrText>
    </w:r>
    <w:r w:rsidRPr="001E5B3B">
      <w:rPr>
        <w:sz w:val="20"/>
      </w:rPr>
      <w:fldChar w:fldCharType="separate"/>
    </w:r>
    <w:r w:rsidR="00CC33FC" w:rsidRPr="00CC33FC">
      <w:rPr>
        <w:b/>
        <w:bCs/>
        <w:noProof/>
        <w:sz w:val="20"/>
      </w:rPr>
      <w:t>-</w:t>
    </w:r>
    <w:r w:rsidR="00CC33FC">
      <w:rPr>
        <w:noProof/>
        <w:sz w:val="20"/>
      </w:rPr>
      <w:t xml:space="preserve"> 2 -</w:t>
    </w:r>
    <w:r w:rsidRPr="001E5B3B">
      <w:rPr>
        <w:b/>
        <w:bCs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FF72D" w14:textId="77777777" w:rsidR="009F76B7" w:rsidRPr="009F76B7" w:rsidRDefault="009F76B7">
    <w:pPr>
      <w:pStyle w:val="Footer"/>
      <w:rPr>
        <w:sz w:val="20"/>
      </w:rPr>
    </w:pPr>
    <w:r>
      <w:rPr>
        <w:sz w:val="20"/>
      </w:rPr>
      <w:t>Board Policy Manual</w:t>
    </w:r>
    <w:r>
      <w:rPr>
        <w:sz w:val="20"/>
      </w:rPr>
      <w:tab/>
    </w:r>
    <w:r>
      <w:rPr>
        <w:sz w:val="20"/>
      </w:rPr>
      <w:tab/>
    </w:r>
    <w:r w:rsidRPr="001E5B3B">
      <w:rPr>
        <w:color w:val="7F7F7F" w:themeColor="background1" w:themeShade="7F"/>
        <w:spacing w:val="60"/>
        <w:sz w:val="20"/>
      </w:rPr>
      <w:t>Page</w:t>
    </w:r>
    <w:r w:rsidRPr="001E5B3B">
      <w:rPr>
        <w:sz w:val="20"/>
      </w:rPr>
      <w:t xml:space="preserve"> | </w:t>
    </w:r>
    <w:r w:rsidRPr="001E5B3B">
      <w:rPr>
        <w:sz w:val="20"/>
      </w:rPr>
      <w:fldChar w:fldCharType="begin"/>
    </w:r>
    <w:r w:rsidRPr="001E5B3B">
      <w:rPr>
        <w:sz w:val="20"/>
      </w:rPr>
      <w:instrText xml:space="preserve"> PAGE   \* MERGEFORMAT </w:instrText>
    </w:r>
    <w:r w:rsidRPr="001E5B3B">
      <w:rPr>
        <w:sz w:val="20"/>
      </w:rPr>
      <w:fldChar w:fldCharType="separate"/>
    </w:r>
    <w:r w:rsidR="005C358F" w:rsidRPr="005C358F">
      <w:rPr>
        <w:b/>
        <w:bCs/>
        <w:noProof/>
        <w:sz w:val="20"/>
      </w:rPr>
      <w:t>-</w:t>
    </w:r>
    <w:r w:rsidR="005C358F">
      <w:rPr>
        <w:noProof/>
        <w:sz w:val="20"/>
      </w:rPr>
      <w:t xml:space="preserve"> 1 -</w:t>
    </w:r>
    <w:r w:rsidRPr="001E5B3B">
      <w:rPr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C3872" w14:textId="77777777" w:rsidR="00D229E7" w:rsidRDefault="00D229E7" w:rsidP="001C6CC8">
      <w:pPr>
        <w:spacing w:after="0" w:line="240" w:lineRule="auto"/>
      </w:pPr>
      <w:r>
        <w:separator/>
      </w:r>
    </w:p>
  </w:footnote>
  <w:footnote w:type="continuationSeparator" w:id="0">
    <w:p w14:paraId="66F1935B" w14:textId="77777777" w:rsidR="00D229E7" w:rsidRDefault="00D229E7" w:rsidP="001C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7BDD3" w14:textId="77777777" w:rsidR="009F76B7" w:rsidRDefault="00E84433" w:rsidP="003872A6">
    <w:pPr>
      <w:pStyle w:val="Header"/>
    </w:pPr>
    <w:r>
      <w:rPr>
        <w:noProof/>
        <w:lang w:eastAsia="en-CA"/>
      </w:rPr>
      <w:drawing>
        <wp:inline distT="0" distB="0" distL="0" distR="0" wp14:anchorId="720240CA" wp14:editId="5B7C7300">
          <wp:extent cx="4152900" cy="73075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2879" cy="74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A229D" w14:textId="77777777" w:rsidR="003872A6" w:rsidRDefault="00E92973">
    <w:pPr>
      <w:pStyle w:val="Header"/>
    </w:pPr>
    <w:r>
      <w:rPr>
        <w:noProof/>
        <w:color w:val="1155CC"/>
        <w:lang w:eastAsia="en-CA"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5054BD50" wp14:editId="5DEF78A2">
              <wp:simplePos x="0" y="0"/>
              <wp:positionH relativeFrom="margin">
                <wp:posOffset>505460</wp:posOffset>
              </wp:positionH>
              <wp:positionV relativeFrom="margin">
                <wp:posOffset>2744470</wp:posOffset>
              </wp:positionV>
              <wp:extent cx="5237480" cy="3142615"/>
              <wp:effectExtent l="0" t="1144270" r="0" b="656590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3BF22" w14:textId="77777777" w:rsidR="00E92973" w:rsidRDefault="00E92973" w:rsidP="00E9297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054BD50">
              <v:stroke joinstyle="miter"/>
              <v:path gradientshapeok="t" o:connecttype="rect"/>
            </v:shapetype>
            <v:shape id="WordArt 3" style="position:absolute;margin-left:39.8pt;margin-top:216.1pt;width:412.4pt;height:247.45pt;rotation:-45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jB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">
              <v:stroke joinstyle="round"/>
              <o:lock v:ext="edit" shapetype="t"/>
              <v:textbox style="mso-fit-shape-to-text:t">
                <w:txbxContent>
                  <w:p w:rsidR="00E92973" w:rsidP="00E92973" w:rsidRDefault="00E92973" w14:paraId="46F3BF22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A353A"/>
    <w:multiLevelType w:val="hybridMultilevel"/>
    <w:tmpl w:val="63D69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03F47"/>
    <w:multiLevelType w:val="hybridMultilevel"/>
    <w:tmpl w:val="8AA42E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E055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87F58"/>
    <w:multiLevelType w:val="hybridMultilevel"/>
    <w:tmpl w:val="3DEAB2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55A67"/>
    <w:multiLevelType w:val="hybridMultilevel"/>
    <w:tmpl w:val="B2587F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E055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F51CD"/>
    <w:multiLevelType w:val="hybridMultilevel"/>
    <w:tmpl w:val="36B62F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33A64"/>
    <w:multiLevelType w:val="hybridMultilevel"/>
    <w:tmpl w:val="24F2E0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E055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B5741"/>
    <w:multiLevelType w:val="hybridMultilevel"/>
    <w:tmpl w:val="4CE45C5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922262"/>
    <w:multiLevelType w:val="hybridMultilevel"/>
    <w:tmpl w:val="B2FCF4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BB"/>
    <w:rsid w:val="000015DA"/>
    <w:rsid w:val="0000510B"/>
    <w:rsid w:val="000134F7"/>
    <w:rsid w:val="00014308"/>
    <w:rsid w:val="00014CD8"/>
    <w:rsid w:val="000167E6"/>
    <w:rsid w:val="00020110"/>
    <w:rsid w:val="00021133"/>
    <w:rsid w:val="00021CBB"/>
    <w:rsid w:val="00025F26"/>
    <w:rsid w:val="00030F75"/>
    <w:rsid w:val="0003726A"/>
    <w:rsid w:val="00037D84"/>
    <w:rsid w:val="000400E3"/>
    <w:rsid w:val="00044B49"/>
    <w:rsid w:val="0004578A"/>
    <w:rsid w:val="000508A8"/>
    <w:rsid w:val="00052E54"/>
    <w:rsid w:val="00053DAF"/>
    <w:rsid w:val="00054798"/>
    <w:rsid w:val="0005524F"/>
    <w:rsid w:val="00055CB0"/>
    <w:rsid w:val="00056C36"/>
    <w:rsid w:val="00060479"/>
    <w:rsid w:val="0006271F"/>
    <w:rsid w:val="000640A5"/>
    <w:rsid w:val="000641BC"/>
    <w:rsid w:val="00070897"/>
    <w:rsid w:val="00070955"/>
    <w:rsid w:val="0007105B"/>
    <w:rsid w:val="00072C47"/>
    <w:rsid w:val="00073B97"/>
    <w:rsid w:val="0007670F"/>
    <w:rsid w:val="000767FA"/>
    <w:rsid w:val="00080EC9"/>
    <w:rsid w:val="00085A1A"/>
    <w:rsid w:val="00086944"/>
    <w:rsid w:val="00087A4B"/>
    <w:rsid w:val="00090213"/>
    <w:rsid w:val="00095826"/>
    <w:rsid w:val="000A0CC8"/>
    <w:rsid w:val="000A4562"/>
    <w:rsid w:val="000A541A"/>
    <w:rsid w:val="000B1B4A"/>
    <w:rsid w:val="000C0F9F"/>
    <w:rsid w:val="000C7A5E"/>
    <w:rsid w:val="000D0361"/>
    <w:rsid w:val="000E05BD"/>
    <w:rsid w:val="000E173E"/>
    <w:rsid w:val="000E1744"/>
    <w:rsid w:val="000E3DA2"/>
    <w:rsid w:val="000E592F"/>
    <w:rsid w:val="00100C59"/>
    <w:rsid w:val="00103E7A"/>
    <w:rsid w:val="0010419D"/>
    <w:rsid w:val="0010558A"/>
    <w:rsid w:val="00107B1C"/>
    <w:rsid w:val="0011112A"/>
    <w:rsid w:val="0011171C"/>
    <w:rsid w:val="00113454"/>
    <w:rsid w:val="00117DEA"/>
    <w:rsid w:val="001205FD"/>
    <w:rsid w:val="00121D36"/>
    <w:rsid w:val="0012320C"/>
    <w:rsid w:val="00123E7F"/>
    <w:rsid w:val="001270EF"/>
    <w:rsid w:val="0013336A"/>
    <w:rsid w:val="001379F8"/>
    <w:rsid w:val="00141EE7"/>
    <w:rsid w:val="001420F5"/>
    <w:rsid w:val="00143521"/>
    <w:rsid w:val="00147F5E"/>
    <w:rsid w:val="00154AB5"/>
    <w:rsid w:val="00167C85"/>
    <w:rsid w:val="0017388B"/>
    <w:rsid w:val="00174618"/>
    <w:rsid w:val="00180BE9"/>
    <w:rsid w:val="00184920"/>
    <w:rsid w:val="00187E8F"/>
    <w:rsid w:val="00190E1A"/>
    <w:rsid w:val="00193593"/>
    <w:rsid w:val="00193B5F"/>
    <w:rsid w:val="001B25E1"/>
    <w:rsid w:val="001B7EEF"/>
    <w:rsid w:val="001C6CC8"/>
    <w:rsid w:val="001C7FAF"/>
    <w:rsid w:val="001D1910"/>
    <w:rsid w:val="001D4A2A"/>
    <w:rsid w:val="001E0A38"/>
    <w:rsid w:val="001E5B3B"/>
    <w:rsid w:val="001E7490"/>
    <w:rsid w:val="001E74F4"/>
    <w:rsid w:val="001F28AE"/>
    <w:rsid w:val="001F3294"/>
    <w:rsid w:val="001F5FD4"/>
    <w:rsid w:val="001F6558"/>
    <w:rsid w:val="001F7720"/>
    <w:rsid w:val="001F7C7D"/>
    <w:rsid w:val="0020103D"/>
    <w:rsid w:val="002027EF"/>
    <w:rsid w:val="00205D29"/>
    <w:rsid w:val="002060AF"/>
    <w:rsid w:val="00206F67"/>
    <w:rsid w:val="0021327F"/>
    <w:rsid w:val="00213F82"/>
    <w:rsid w:val="00221F85"/>
    <w:rsid w:val="00222083"/>
    <w:rsid w:val="00223552"/>
    <w:rsid w:val="00224929"/>
    <w:rsid w:val="0023019C"/>
    <w:rsid w:val="00241C3B"/>
    <w:rsid w:val="00241F41"/>
    <w:rsid w:val="0024406D"/>
    <w:rsid w:val="00245712"/>
    <w:rsid w:val="00251069"/>
    <w:rsid w:val="00252781"/>
    <w:rsid w:val="0025281B"/>
    <w:rsid w:val="00252B05"/>
    <w:rsid w:val="00254A40"/>
    <w:rsid w:val="00274689"/>
    <w:rsid w:val="002756EC"/>
    <w:rsid w:val="002828C9"/>
    <w:rsid w:val="002910F7"/>
    <w:rsid w:val="00294B24"/>
    <w:rsid w:val="002A3782"/>
    <w:rsid w:val="002A4BEB"/>
    <w:rsid w:val="002B26D4"/>
    <w:rsid w:val="002B5AE6"/>
    <w:rsid w:val="002C2B8D"/>
    <w:rsid w:val="002D1F18"/>
    <w:rsid w:val="002D348C"/>
    <w:rsid w:val="002D49D5"/>
    <w:rsid w:val="002D4BC0"/>
    <w:rsid w:val="002D637D"/>
    <w:rsid w:val="002D7BE5"/>
    <w:rsid w:val="002E027A"/>
    <w:rsid w:val="002E0C33"/>
    <w:rsid w:val="002E6516"/>
    <w:rsid w:val="002E7262"/>
    <w:rsid w:val="002F0A89"/>
    <w:rsid w:val="002F33A4"/>
    <w:rsid w:val="002F7D54"/>
    <w:rsid w:val="0030657E"/>
    <w:rsid w:val="0030729C"/>
    <w:rsid w:val="00316AA1"/>
    <w:rsid w:val="003174E1"/>
    <w:rsid w:val="00321578"/>
    <w:rsid w:val="0032640F"/>
    <w:rsid w:val="00326935"/>
    <w:rsid w:val="00332D12"/>
    <w:rsid w:val="00337564"/>
    <w:rsid w:val="003442A6"/>
    <w:rsid w:val="0035753A"/>
    <w:rsid w:val="003608EE"/>
    <w:rsid w:val="00363487"/>
    <w:rsid w:val="0036474E"/>
    <w:rsid w:val="00364C82"/>
    <w:rsid w:val="00365D4E"/>
    <w:rsid w:val="00367AE3"/>
    <w:rsid w:val="00372D11"/>
    <w:rsid w:val="0037724E"/>
    <w:rsid w:val="00381A08"/>
    <w:rsid w:val="0038363C"/>
    <w:rsid w:val="00386A17"/>
    <w:rsid w:val="003872A6"/>
    <w:rsid w:val="003906A3"/>
    <w:rsid w:val="00394919"/>
    <w:rsid w:val="0039536E"/>
    <w:rsid w:val="00396AAD"/>
    <w:rsid w:val="003972DC"/>
    <w:rsid w:val="003973FF"/>
    <w:rsid w:val="00397737"/>
    <w:rsid w:val="003A09C5"/>
    <w:rsid w:val="003A4903"/>
    <w:rsid w:val="003A62E3"/>
    <w:rsid w:val="003A7F22"/>
    <w:rsid w:val="003B225C"/>
    <w:rsid w:val="003B5E9A"/>
    <w:rsid w:val="003C013B"/>
    <w:rsid w:val="003C1B55"/>
    <w:rsid w:val="003C2307"/>
    <w:rsid w:val="003C3C1D"/>
    <w:rsid w:val="003C4500"/>
    <w:rsid w:val="003C6948"/>
    <w:rsid w:val="003D57BD"/>
    <w:rsid w:val="003D6690"/>
    <w:rsid w:val="003E5754"/>
    <w:rsid w:val="003E5FA7"/>
    <w:rsid w:val="003E61A0"/>
    <w:rsid w:val="003E77FC"/>
    <w:rsid w:val="003F0459"/>
    <w:rsid w:val="003F3D4B"/>
    <w:rsid w:val="003F6411"/>
    <w:rsid w:val="00411CC8"/>
    <w:rsid w:val="0041481B"/>
    <w:rsid w:val="0042039E"/>
    <w:rsid w:val="00422C97"/>
    <w:rsid w:val="00424A17"/>
    <w:rsid w:val="00426D6C"/>
    <w:rsid w:val="00427F8B"/>
    <w:rsid w:val="00430112"/>
    <w:rsid w:val="0044329F"/>
    <w:rsid w:val="00445505"/>
    <w:rsid w:val="00450499"/>
    <w:rsid w:val="0045453D"/>
    <w:rsid w:val="0045710C"/>
    <w:rsid w:val="004618B7"/>
    <w:rsid w:val="00461F3D"/>
    <w:rsid w:val="00473934"/>
    <w:rsid w:val="00475CCC"/>
    <w:rsid w:val="00482CC9"/>
    <w:rsid w:val="004837F8"/>
    <w:rsid w:val="00491519"/>
    <w:rsid w:val="00496F4C"/>
    <w:rsid w:val="004A09E9"/>
    <w:rsid w:val="004A14AC"/>
    <w:rsid w:val="004A56CA"/>
    <w:rsid w:val="004B076D"/>
    <w:rsid w:val="004B57CF"/>
    <w:rsid w:val="004C3E40"/>
    <w:rsid w:val="004C4038"/>
    <w:rsid w:val="004C629C"/>
    <w:rsid w:val="004D1A9E"/>
    <w:rsid w:val="004E6D63"/>
    <w:rsid w:val="00501F4A"/>
    <w:rsid w:val="00504BDF"/>
    <w:rsid w:val="00506E33"/>
    <w:rsid w:val="005075F1"/>
    <w:rsid w:val="00522042"/>
    <w:rsid w:val="00527E0B"/>
    <w:rsid w:val="005300B2"/>
    <w:rsid w:val="00531364"/>
    <w:rsid w:val="00531628"/>
    <w:rsid w:val="00531AFE"/>
    <w:rsid w:val="005372A7"/>
    <w:rsid w:val="0053799E"/>
    <w:rsid w:val="00537FD0"/>
    <w:rsid w:val="005410CF"/>
    <w:rsid w:val="00542D8F"/>
    <w:rsid w:val="00545BAC"/>
    <w:rsid w:val="005461CE"/>
    <w:rsid w:val="00546AAC"/>
    <w:rsid w:val="005564E9"/>
    <w:rsid w:val="00561B03"/>
    <w:rsid w:val="0057041A"/>
    <w:rsid w:val="005744ED"/>
    <w:rsid w:val="00577853"/>
    <w:rsid w:val="005818A4"/>
    <w:rsid w:val="00584FDA"/>
    <w:rsid w:val="0059059F"/>
    <w:rsid w:val="00590EA0"/>
    <w:rsid w:val="005A42AA"/>
    <w:rsid w:val="005A63C9"/>
    <w:rsid w:val="005B038A"/>
    <w:rsid w:val="005B03DF"/>
    <w:rsid w:val="005B07E7"/>
    <w:rsid w:val="005B1065"/>
    <w:rsid w:val="005B24E0"/>
    <w:rsid w:val="005B5AB7"/>
    <w:rsid w:val="005B6384"/>
    <w:rsid w:val="005C128F"/>
    <w:rsid w:val="005C358F"/>
    <w:rsid w:val="005C3F7F"/>
    <w:rsid w:val="005C4A22"/>
    <w:rsid w:val="005C6012"/>
    <w:rsid w:val="005C702E"/>
    <w:rsid w:val="005C7AE4"/>
    <w:rsid w:val="005F0D9C"/>
    <w:rsid w:val="005F6241"/>
    <w:rsid w:val="0060236F"/>
    <w:rsid w:val="00611CC4"/>
    <w:rsid w:val="006129AE"/>
    <w:rsid w:val="00615A13"/>
    <w:rsid w:val="00616181"/>
    <w:rsid w:val="0061786C"/>
    <w:rsid w:val="006179B5"/>
    <w:rsid w:val="006207CB"/>
    <w:rsid w:val="006250D6"/>
    <w:rsid w:val="00625561"/>
    <w:rsid w:val="006255FD"/>
    <w:rsid w:val="00630258"/>
    <w:rsid w:val="0063327A"/>
    <w:rsid w:val="00636715"/>
    <w:rsid w:val="00645D1E"/>
    <w:rsid w:val="006556A7"/>
    <w:rsid w:val="00656DDD"/>
    <w:rsid w:val="00660428"/>
    <w:rsid w:val="00665877"/>
    <w:rsid w:val="00673CCF"/>
    <w:rsid w:val="006744A0"/>
    <w:rsid w:val="00680C0A"/>
    <w:rsid w:val="00682CCE"/>
    <w:rsid w:val="00685B00"/>
    <w:rsid w:val="00692A3D"/>
    <w:rsid w:val="006A1964"/>
    <w:rsid w:val="006C0063"/>
    <w:rsid w:val="006C2664"/>
    <w:rsid w:val="006D34F2"/>
    <w:rsid w:val="006D7977"/>
    <w:rsid w:val="006E0935"/>
    <w:rsid w:val="006E1554"/>
    <w:rsid w:val="006E163C"/>
    <w:rsid w:val="006E255F"/>
    <w:rsid w:val="006E2919"/>
    <w:rsid w:val="006E3760"/>
    <w:rsid w:val="006E645F"/>
    <w:rsid w:val="006F0D3F"/>
    <w:rsid w:val="006F150F"/>
    <w:rsid w:val="006F3F86"/>
    <w:rsid w:val="006F4616"/>
    <w:rsid w:val="006F6199"/>
    <w:rsid w:val="006F74D6"/>
    <w:rsid w:val="00701FF6"/>
    <w:rsid w:val="00702586"/>
    <w:rsid w:val="00711830"/>
    <w:rsid w:val="00714891"/>
    <w:rsid w:val="00717C29"/>
    <w:rsid w:val="00722A6D"/>
    <w:rsid w:val="007235C5"/>
    <w:rsid w:val="0073089C"/>
    <w:rsid w:val="0073112C"/>
    <w:rsid w:val="00743C1F"/>
    <w:rsid w:val="007509BF"/>
    <w:rsid w:val="007619DB"/>
    <w:rsid w:val="007651F3"/>
    <w:rsid w:val="007673F4"/>
    <w:rsid w:val="00771AB3"/>
    <w:rsid w:val="00775107"/>
    <w:rsid w:val="007754C0"/>
    <w:rsid w:val="00776B2F"/>
    <w:rsid w:val="00776EBF"/>
    <w:rsid w:val="007779DC"/>
    <w:rsid w:val="00780840"/>
    <w:rsid w:val="00781FEF"/>
    <w:rsid w:val="00791060"/>
    <w:rsid w:val="0079393C"/>
    <w:rsid w:val="007A0164"/>
    <w:rsid w:val="007A1BBF"/>
    <w:rsid w:val="007A1E9A"/>
    <w:rsid w:val="007A5218"/>
    <w:rsid w:val="007A6A13"/>
    <w:rsid w:val="007A7A7E"/>
    <w:rsid w:val="007B1529"/>
    <w:rsid w:val="007B2171"/>
    <w:rsid w:val="007B6171"/>
    <w:rsid w:val="007B651C"/>
    <w:rsid w:val="007C2B64"/>
    <w:rsid w:val="007C3781"/>
    <w:rsid w:val="007C654F"/>
    <w:rsid w:val="007C710D"/>
    <w:rsid w:val="007D08FE"/>
    <w:rsid w:val="007D0B27"/>
    <w:rsid w:val="007D0DA0"/>
    <w:rsid w:val="007D2D7F"/>
    <w:rsid w:val="007D4B77"/>
    <w:rsid w:val="007D77A9"/>
    <w:rsid w:val="007E4851"/>
    <w:rsid w:val="007E7667"/>
    <w:rsid w:val="007F2773"/>
    <w:rsid w:val="007F29AB"/>
    <w:rsid w:val="00801332"/>
    <w:rsid w:val="00802032"/>
    <w:rsid w:val="00802904"/>
    <w:rsid w:val="008054A6"/>
    <w:rsid w:val="00805A8E"/>
    <w:rsid w:val="0080700E"/>
    <w:rsid w:val="00807F80"/>
    <w:rsid w:val="00834FC5"/>
    <w:rsid w:val="0083605F"/>
    <w:rsid w:val="00837EB1"/>
    <w:rsid w:val="008407C7"/>
    <w:rsid w:val="00844F1E"/>
    <w:rsid w:val="00846821"/>
    <w:rsid w:val="0085238E"/>
    <w:rsid w:val="0085774A"/>
    <w:rsid w:val="00863958"/>
    <w:rsid w:val="00864F6B"/>
    <w:rsid w:val="008666BE"/>
    <w:rsid w:val="00866BFD"/>
    <w:rsid w:val="00871B77"/>
    <w:rsid w:val="008722B0"/>
    <w:rsid w:val="00873C9F"/>
    <w:rsid w:val="00876EF9"/>
    <w:rsid w:val="008771BE"/>
    <w:rsid w:val="00884D16"/>
    <w:rsid w:val="0089412F"/>
    <w:rsid w:val="008A0D65"/>
    <w:rsid w:val="008A1C36"/>
    <w:rsid w:val="008B37A0"/>
    <w:rsid w:val="008C4680"/>
    <w:rsid w:val="008C5ABE"/>
    <w:rsid w:val="008C5AEE"/>
    <w:rsid w:val="008D6773"/>
    <w:rsid w:val="008E3179"/>
    <w:rsid w:val="008E6298"/>
    <w:rsid w:val="008E7635"/>
    <w:rsid w:val="009017C9"/>
    <w:rsid w:val="00902D65"/>
    <w:rsid w:val="00902DE5"/>
    <w:rsid w:val="00903F30"/>
    <w:rsid w:val="0091196B"/>
    <w:rsid w:val="00914528"/>
    <w:rsid w:val="0091489D"/>
    <w:rsid w:val="0092032B"/>
    <w:rsid w:val="009213DB"/>
    <w:rsid w:val="00922AAD"/>
    <w:rsid w:val="00933339"/>
    <w:rsid w:val="00933E81"/>
    <w:rsid w:val="00943CAD"/>
    <w:rsid w:val="00956FB5"/>
    <w:rsid w:val="009601E9"/>
    <w:rsid w:val="0096052B"/>
    <w:rsid w:val="009631E9"/>
    <w:rsid w:val="00964F5E"/>
    <w:rsid w:val="00972026"/>
    <w:rsid w:val="009735AC"/>
    <w:rsid w:val="00974FA8"/>
    <w:rsid w:val="009753CF"/>
    <w:rsid w:val="0098498E"/>
    <w:rsid w:val="00985C02"/>
    <w:rsid w:val="00994B8C"/>
    <w:rsid w:val="009A57B0"/>
    <w:rsid w:val="009B00B8"/>
    <w:rsid w:val="009B2421"/>
    <w:rsid w:val="009B384A"/>
    <w:rsid w:val="009C2C88"/>
    <w:rsid w:val="009C4757"/>
    <w:rsid w:val="009C6AB7"/>
    <w:rsid w:val="009D033E"/>
    <w:rsid w:val="009D0DA5"/>
    <w:rsid w:val="009D1911"/>
    <w:rsid w:val="009D24EA"/>
    <w:rsid w:val="009D2ED4"/>
    <w:rsid w:val="009D3F5A"/>
    <w:rsid w:val="009D77A3"/>
    <w:rsid w:val="009E1117"/>
    <w:rsid w:val="009E19BD"/>
    <w:rsid w:val="009E1F46"/>
    <w:rsid w:val="009E2BF1"/>
    <w:rsid w:val="009E2CFA"/>
    <w:rsid w:val="009E7A67"/>
    <w:rsid w:val="009F1971"/>
    <w:rsid w:val="009F6416"/>
    <w:rsid w:val="009F76B7"/>
    <w:rsid w:val="009F7C22"/>
    <w:rsid w:val="00A10D8D"/>
    <w:rsid w:val="00A11576"/>
    <w:rsid w:val="00A11792"/>
    <w:rsid w:val="00A1387C"/>
    <w:rsid w:val="00A150B1"/>
    <w:rsid w:val="00A22248"/>
    <w:rsid w:val="00A2360A"/>
    <w:rsid w:val="00A24893"/>
    <w:rsid w:val="00A2618C"/>
    <w:rsid w:val="00A32F20"/>
    <w:rsid w:val="00A33857"/>
    <w:rsid w:val="00A368D1"/>
    <w:rsid w:val="00A421B8"/>
    <w:rsid w:val="00A44A9E"/>
    <w:rsid w:val="00A539B0"/>
    <w:rsid w:val="00A545A5"/>
    <w:rsid w:val="00A55F1A"/>
    <w:rsid w:val="00A57D1C"/>
    <w:rsid w:val="00A60998"/>
    <w:rsid w:val="00A6159F"/>
    <w:rsid w:val="00A619A6"/>
    <w:rsid w:val="00A626BB"/>
    <w:rsid w:val="00A63CA2"/>
    <w:rsid w:val="00A6424E"/>
    <w:rsid w:val="00A65615"/>
    <w:rsid w:val="00A65C24"/>
    <w:rsid w:val="00A66FE2"/>
    <w:rsid w:val="00A6745C"/>
    <w:rsid w:val="00A76F2B"/>
    <w:rsid w:val="00A84191"/>
    <w:rsid w:val="00A85882"/>
    <w:rsid w:val="00A87E4C"/>
    <w:rsid w:val="00A90FB1"/>
    <w:rsid w:val="00A97DBB"/>
    <w:rsid w:val="00AA19A9"/>
    <w:rsid w:val="00AA3B0C"/>
    <w:rsid w:val="00AA452F"/>
    <w:rsid w:val="00AA486E"/>
    <w:rsid w:val="00AA6E46"/>
    <w:rsid w:val="00AA71F1"/>
    <w:rsid w:val="00AB366D"/>
    <w:rsid w:val="00AB7D2A"/>
    <w:rsid w:val="00AC3943"/>
    <w:rsid w:val="00AD0E44"/>
    <w:rsid w:val="00AD3F7E"/>
    <w:rsid w:val="00AE2001"/>
    <w:rsid w:val="00AF0D5F"/>
    <w:rsid w:val="00AF1701"/>
    <w:rsid w:val="00AF3242"/>
    <w:rsid w:val="00AF3E9D"/>
    <w:rsid w:val="00AF44DE"/>
    <w:rsid w:val="00AF455F"/>
    <w:rsid w:val="00AF5925"/>
    <w:rsid w:val="00AF5E04"/>
    <w:rsid w:val="00AF7E29"/>
    <w:rsid w:val="00B00249"/>
    <w:rsid w:val="00B006F6"/>
    <w:rsid w:val="00B12DF5"/>
    <w:rsid w:val="00B130E6"/>
    <w:rsid w:val="00B16C33"/>
    <w:rsid w:val="00B265C2"/>
    <w:rsid w:val="00B30212"/>
    <w:rsid w:val="00B3119A"/>
    <w:rsid w:val="00B52966"/>
    <w:rsid w:val="00B52A9E"/>
    <w:rsid w:val="00B65761"/>
    <w:rsid w:val="00B66121"/>
    <w:rsid w:val="00B70B03"/>
    <w:rsid w:val="00B728B7"/>
    <w:rsid w:val="00B72F18"/>
    <w:rsid w:val="00B747D5"/>
    <w:rsid w:val="00B74F3B"/>
    <w:rsid w:val="00B77C7B"/>
    <w:rsid w:val="00B8045A"/>
    <w:rsid w:val="00B82FB7"/>
    <w:rsid w:val="00B830B7"/>
    <w:rsid w:val="00B83530"/>
    <w:rsid w:val="00B85F44"/>
    <w:rsid w:val="00B85F7D"/>
    <w:rsid w:val="00B9003D"/>
    <w:rsid w:val="00B92FA1"/>
    <w:rsid w:val="00B948A0"/>
    <w:rsid w:val="00BA3A4D"/>
    <w:rsid w:val="00BA486B"/>
    <w:rsid w:val="00BA5C26"/>
    <w:rsid w:val="00BB29ED"/>
    <w:rsid w:val="00BB7477"/>
    <w:rsid w:val="00BB7C07"/>
    <w:rsid w:val="00BC13ED"/>
    <w:rsid w:val="00BC54F5"/>
    <w:rsid w:val="00BC7051"/>
    <w:rsid w:val="00BD5CE9"/>
    <w:rsid w:val="00BE2F5B"/>
    <w:rsid w:val="00BE5B7C"/>
    <w:rsid w:val="00BE5C71"/>
    <w:rsid w:val="00BF77B5"/>
    <w:rsid w:val="00C01237"/>
    <w:rsid w:val="00C11E09"/>
    <w:rsid w:val="00C12E9A"/>
    <w:rsid w:val="00C144E1"/>
    <w:rsid w:val="00C1526D"/>
    <w:rsid w:val="00C16936"/>
    <w:rsid w:val="00C22595"/>
    <w:rsid w:val="00C233A3"/>
    <w:rsid w:val="00C303D2"/>
    <w:rsid w:val="00C30ACC"/>
    <w:rsid w:val="00C312BB"/>
    <w:rsid w:val="00C33B6E"/>
    <w:rsid w:val="00C34C4C"/>
    <w:rsid w:val="00C34EB6"/>
    <w:rsid w:val="00C35087"/>
    <w:rsid w:val="00C4029B"/>
    <w:rsid w:val="00C41F8E"/>
    <w:rsid w:val="00C45502"/>
    <w:rsid w:val="00C51976"/>
    <w:rsid w:val="00C52976"/>
    <w:rsid w:val="00C52A13"/>
    <w:rsid w:val="00C552F5"/>
    <w:rsid w:val="00C57802"/>
    <w:rsid w:val="00C61838"/>
    <w:rsid w:val="00C62783"/>
    <w:rsid w:val="00C63CDF"/>
    <w:rsid w:val="00C7422E"/>
    <w:rsid w:val="00C84740"/>
    <w:rsid w:val="00C85060"/>
    <w:rsid w:val="00C86B5D"/>
    <w:rsid w:val="00C86DCD"/>
    <w:rsid w:val="00C9130A"/>
    <w:rsid w:val="00C946A4"/>
    <w:rsid w:val="00C95103"/>
    <w:rsid w:val="00C95A1A"/>
    <w:rsid w:val="00CA1EE2"/>
    <w:rsid w:val="00CA2261"/>
    <w:rsid w:val="00CA3679"/>
    <w:rsid w:val="00CA546E"/>
    <w:rsid w:val="00CA6CD7"/>
    <w:rsid w:val="00CC33FC"/>
    <w:rsid w:val="00CC7AFC"/>
    <w:rsid w:val="00CC7BE5"/>
    <w:rsid w:val="00CD185B"/>
    <w:rsid w:val="00CD30C7"/>
    <w:rsid w:val="00CD6F0C"/>
    <w:rsid w:val="00CD7787"/>
    <w:rsid w:val="00CD7A39"/>
    <w:rsid w:val="00CE7935"/>
    <w:rsid w:val="00CF1191"/>
    <w:rsid w:val="00CF1B2F"/>
    <w:rsid w:val="00CF46EA"/>
    <w:rsid w:val="00D001A7"/>
    <w:rsid w:val="00D01A3F"/>
    <w:rsid w:val="00D137C9"/>
    <w:rsid w:val="00D1384F"/>
    <w:rsid w:val="00D167D9"/>
    <w:rsid w:val="00D229E7"/>
    <w:rsid w:val="00D24817"/>
    <w:rsid w:val="00D347B9"/>
    <w:rsid w:val="00D34AE9"/>
    <w:rsid w:val="00D3625F"/>
    <w:rsid w:val="00D45FFF"/>
    <w:rsid w:val="00D557E7"/>
    <w:rsid w:val="00D55931"/>
    <w:rsid w:val="00D618C6"/>
    <w:rsid w:val="00D62337"/>
    <w:rsid w:val="00D62472"/>
    <w:rsid w:val="00D65BC5"/>
    <w:rsid w:val="00D7312E"/>
    <w:rsid w:val="00D81291"/>
    <w:rsid w:val="00D81914"/>
    <w:rsid w:val="00D8396F"/>
    <w:rsid w:val="00D854C7"/>
    <w:rsid w:val="00D85699"/>
    <w:rsid w:val="00D85E83"/>
    <w:rsid w:val="00D8743F"/>
    <w:rsid w:val="00D91F37"/>
    <w:rsid w:val="00D936C5"/>
    <w:rsid w:val="00D93E19"/>
    <w:rsid w:val="00D9411C"/>
    <w:rsid w:val="00D97C41"/>
    <w:rsid w:val="00DA0A80"/>
    <w:rsid w:val="00DA519E"/>
    <w:rsid w:val="00DB170E"/>
    <w:rsid w:val="00DB3D6B"/>
    <w:rsid w:val="00DB3F0A"/>
    <w:rsid w:val="00DB693D"/>
    <w:rsid w:val="00DC05E7"/>
    <w:rsid w:val="00DC079B"/>
    <w:rsid w:val="00DD673A"/>
    <w:rsid w:val="00DE2BBC"/>
    <w:rsid w:val="00DE2FC1"/>
    <w:rsid w:val="00DE3C57"/>
    <w:rsid w:val="00DE4D05"/>
    <w:rsid w:val="00E0725A"/>
    <w:rsid w:val="00E14F0F"/>
    <w:rsid w:val="00E22778"/>
    <w:rsid w:val="00E23CBA"/>
    <w:rsid w:val="00E41CAF"/>
    <w:rsid w:val="00E521CC"/>
    <w:rsid w:val="00E579F5"/>
    <w:rsid w:val="00E66901"/>
    <w:rsid w:val="00E67532"/>
    <w:rsid w:val="00E675D7"/>
    <w:rsid w:val="00E706AB"/>
    <w:rsid w:val="00E71A5A"/>
    <w:rsid w:val="00E75164"/>
    <w:rsid w:val="00E76333"/>
    <w:rsid w:val="00E768B3"/>
    <w:rsid w:val="00E8101D"/>
    <w:rsid w:val="00E82AEE"/>
    <w:rsid w:val="00E84433"/>
    <w:rsid w:val="00E84D8D"/>
    <w:rsid w:val="00E85743"/>
    <w:rsid w:val="00E85ED8"/>
    <w:rsid w:val="00E8649F"/>
    <w:rsid w:val="00E87BEA"/>
    <w:rsid w:val="00E90781"/>
    <w:rsid w:val="00E92973"/>
    <w:rsid w:val="00E92BC9"/>
    <w:rsid w:val="00E95258"/>
    <w:rsid w:val="00EA680E"/>
    <w:rsid w:val="00EA6E4E"/>
    <w:rsid w:val="00EB067F"/>
    <w:rsid w:val="00EB2674"/>
    <w:rsid w:val="00EB6715"/>
    <w:rsid w:val="00ED4398"/>
    <w:rsid w:val="00ED59A1"/>
    <w:rsid w:val="00ED63D6"/>
    <w:rsid w:val="00EE2394"/>
    <w:rsid w:val="00EE5222"/>
    <w:rsid w:val="00EE619C"/>
    <w:rsid w:val="00EF2F72"/>
    <w:rsid w:val="00EF549D"/>
    <w:rsid w:val="00F01E22"/>
    <w:rsid w:val="00F036EF"/>
    <w:rsid w:val="00F043FC"/>
    <w:rsid w:val="00F05BFF"/>
    <w:rsid w:val="00F0684C"/>
    <w:rsid w:val="00F1008F"/>
    <w:rsid w:val="00F144EB"/>
    <w:rsid w:val="00F16F39"/>
    <w:rsid w:val="00F1763E"/>
    <w:rsid w:val="00F20072"/>
    <w:rsid w:val="00F20280"/>
    <w:rsid w:val="00F20871"/>
    <w:rsid w:val="00F24D6E"/>
    <w:rsid w:val="00F26E39"/>
    <w:rsid w:val="00F30953"/>
    <w:rsid w:val="00F30F94"/>
    <w:rsid w:val="00F50D9E"/>
    <w:rsid w:val="00F55E5B"/>
    <w:rsid w:val="00F60081"/>
    <w:rsid w:val="00F636DC"/>
    <w:rsid w:val="00F63C95"/>
    <w:rsid w:val="00F67722"/>
    <w:rsid w:val="00F7287A"/>
    <w:rsid w:val="00F7429D"/>
    <w:rsid w:val="00F74845"/>
    <w:rsid w:val="00F75E7A"/>
    <w:rsid w:val="00F82950"/>
    <w:rsid w:val="00F83E2A"/>
    <w:rsid w:val="00F84E07"/>
    <w:rsid w:val="00F93541"/>
    <w:rsid w:val="00F97E4B"/>
    <w:rsid w:val="00FA02B4"/>
    <w:rsid w:val="00FA0E95"/>
    <w:rsid w:val="00FA19B4"/>
    <w:rsid w:val="00FA1C1B"/>
    <w:rsid w:val="00FA325A"/>
    <w:rsid w:val="00FA4239"/>
    <w:rsid w:val="00FA493A"/>
    <w:rsid w:val="00FA5CEC"/>
    <w:rsid w:val="00FA723E"/>
    <w:rsid w:val="00FB00E7"/>
    <w:rsid w:val="00FB157F"/>
    <w:rsid w:val="00FB1C60"/>
    <w:rsid w:val="00FB49CC"/>
    <w:rsid w:val="00FB4E76"/>
    <w:rsid w:val="00FB713B"/>
    <w:rsid w:val="00FB794B"/>
    <w:rsid w:val="00FC1AD4"/>
    <w:rsid w:val="00FC2EC9"/>
    <w:rsid w:val="00FC452B"/>
    <w:rsid w:val="00FC67ED"/>
    <w:rsid w:val="00FD02CF"/>
    <w:rsid w:val="00FD5299"/>
    <w:rsid w:val="00FE4A02"/>
    <w:rsid w:val="00FE57C4"/>
    <w:rsid w:val="00FE72D9"/>
    <w:rsid w:val="00FF1B4A"/>
    <w:rsid w:val="00FF456E"/>
    <w:rsid w:val="00FF66DE"/>
    <w:rsid w:val="00FF7478"/>
    <w:rsid w:val="00FF7D57"/>
    <w:rsid w:val="3AAFB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45A7EF"/>
  <w15:docId w15:val="{7A96223C-1B36-45B3-A1A1-339F4E2F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2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B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D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CC8"/>
  </w:style>
  <w:style w:type="paragraph" w:styleId="Footer">
    <w:name w:val="footer"/>
    <w:basedOn w:val="Normal"/>
    <w:link w:val="FooterChar"/>
    <w:uiPriority w:val="99"/>
    <w:unhideWhenUsed/>
    <w:rsid w:val="001C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CC8"/>
  </w:style>
  <w:style w:type="paragraph" w:styleId="ListParagraph">
    <w:name w:val="List Paragraph"/>
    <w:basedOn w:val="Normal"/>
    <w:uiPriority w:val="34"/>
    <w:qFormat/>
    <w:rsid w:val="005A42AA"/>
    <w:pPr>
      <w:ind w:left="720"/>
      <w:contextualSpacing/>
    </w:pPr>
  </w:style>
  <w:style w:type="table" w:styleId="TableGrid">
    <w:name w:val="Table Grid"/>
    <w:basedOn w:val="TableNormal"/>
    <w:uiPriority w:val="59"/>
    <w:rsid w:val="00014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F76B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9F76B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76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F76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29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26D7-A4ED-4CC4-81A4-F87F9F48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Boyer</dc:creator>
  <cp:lastModifiedBy>Julie Gagnon</cp:lastModifiedBy>
  <cp:revision>3</cp:revision>
  <cp:lastPrinted>2014-10-22T17:21:00Z</cp:lastPrinted>
  <dcterms:created xsi:type="dcterms:W3CDTF">2019-10-25T14:47:00Z</dcterms:created>
  <dcterms:modified xsi:type="dcterms:W3CDTF">2019-10-25T18:22:00Z</dcterms:modified>
</cp:coreProperties>
</file>