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5D02B" w14:textId="66BD7A67" w:rsidR="00FB4E76" w:rsidRDefault="003872A6" w:rsidP="00EF549D">
      <w:pPr>
        <w:spacing w:after="120" w:line="240" w:lineRule="auto"/>
        <w:jc w:val="center"/>
        <w:outlineLvl w:val="1"/>
        <w:rPr>
          <w:rFonts w:cstheme="minorHAnsi"/>
          <w:b/>
          <w:sz w:val="28"/>
        </w:rPr>
      </w:pPr>
      <w:bookmarkStart w:id="0" w:name="_Toc443944077"/>
      <w:r>
        <w:rPr>
          <w:rFonts w:cstheme="minorHAnsi"/>
          <w:b/>
          <w:sz w:val="28"/>
        </w:rPr>
        <w:t xml:space="preserve">Policy </w:t>
      </w:r>
      <w:bookmarkStart w:id="1" w:name="_Hlk499665287"/>
      <w:bookmarkEnd w:id="0"/>
      <w:r w:rsidR="0076066E">
        <w:rPr>
          <w:rFonts w:cstheme="minorHAnsi"/>
          <w:b/>
          <w:sz w:val="28"/>
        </w:rPr>
        <w:t xml:space="preserve">on CONFLICT OF INTEREST FOR </w:t>
      </w:r>
      <w:r w:rsidR="00E15F4C">
        <w:rPr>
          <w:rFonts w:cstheme="minorHAnsi"/>
          <w:b/>
          <w:sz w:val="28"/>
        </w:rPr>
        <w:t>INSTITUTE BOARD MEMBERS</w:t>
      </w:r>
    </w:p>
    <w:p w14:paraId="19FFC8F5" w14:textId="536C1795" w:rsidR="00EF549D" w:rsidRPr="00EF549D" w:rsidRDefault="00EF549D" w:rsidP="00EF549D">
      <w:pPr>
        <w:spacing w:after="240" w:line="240" w:lineRule="auto"/>
        <w:jc w:val="center"/>
        <w:outlineLvl w:val="2"/>
        <w:rPr>
          <w:b/>
          <w:sz w:val="24"/>
        </w:rPr>
      </w:pPr>
      <w:r w:rsidRPr="00EF549D">
        <w:rPr>
          <w:b/>
          <w:sz w:val="24"/>
        </w:rPr>
        <w:t>Effective Date:</w:t>
      </w:r>
      <w:r w:rsidR="002E2011">
        <w:rPr>
          <w:b/>
          <w:sz w:val="24"/>
        </w:rPr>
        <w:t xml:space="preserve"> June 2019</w:t>
      </w:r>
      <w:bookmarkStart w:id="2" w:name="_GoBack"/>
      <w:bookmarkEnd w:id="2"/>
    </w:p>
    <w:tbl>
      <w:tblPr>
        <w:tblStyle w:val="TableGrid"/>
        <w:tblW w:w="9972" w:type="dxa"/>
        <w:tblBorders>
          <w:left w:val="none" w:sz="0" w:space="0" w:color="auto"/>
          <w:right w:val="none" w:sz="0" w:space="0" w:color="auto"/>
          <w:insideV w:val="none" w:sz="0" w:space="0" w:color="auto"/>
        </w:tblBorders>
        <w:tblCellMar>
          <w:left w:w="72" w:type="dxa"/>
          <w:bottom w:w="101" w:type="dxa"/>
          <w:right w:w="72" w:type="dxa"/>
        </w:tblCellMar>
        <w:tblLook w:val="04A0" w:firstRow="1" w:lastRow="0" w:firstColumn="1" w:lastColumn="0" w:noHBand="0" w:noVBand="1"/>
      </w:tblPr>
      <w:tblGrid>
        <w:gridCol w:w="2628"/>
        <w:gridCol w:w="7344"/>
      </w:tblGrid>
      <w:tr w:rsidR="00014308" w:rsidRPr="00014308" w14:paraId="774152D2" w14:textId="77777777" w:rsidTr="00E0725A">
        <w:trPr>
          <w:cantSplit/>
        </w:trPr>
        <w:tc>
          <w:tcPr>
            <w:tcW w:w="2628" w:type="dxa"/>
          </w:tcPr>
          <w:bookmarkEnd w:id="1"/>
          <w:p w14:paraId="04CD0F7D" w14:textId="77777777" w:rsidR="00014308" w:rsidRPr="00014308" w:rsidRDefault="005C128F" w:rsidP="001E786B">
            <w:pPr>
              <w:pStyle w:val="ListParagraph"/>
              <w:numPr>
                <w:ilvl w:val="0"/>
                <w:numId w:val="6"/>
              </w:numPr>
              <w:spacing w:before="120"/>
              <w:outlineLvl w:val="2"/>
              <w:rPr>
                <w:b/>
                <w:sz w:val="24"/>
              </w:rPr>
            </w:pPr>
            <w:r>
              <w:rPr>
                <w:b/>
                <w:sz w:val="24"/>
              </w:rPr>
              <w:t>Purpose and Scope</w:t>
            </w:r>
          </w:p>
        </w:tc>
        <w:tc>
          <w:tcPr>
            <w:tcW w:w="7344" w:type="dxa"/>
          </w:tcPr>
          <w:p w14:paraId="49D7CF87" w14:textId="4DDAFDF8" w:rsidR="00014308" w:rsidRPr="00014308" w:rsidRDefault="0076066E" w:rsidP="00E0725A">
            <w:pPr>
              <w:spacing w:before="120"/>
            </w:pPr>
            <w:r w:rsidRPr="0076066E">
              <w:t>This policy provides guidance and direction in dealing with real or perceived conflicts of interest for the Institute’s Board of Directors, including the President and Vice-Presidents (“Board Member”).</w:t>
            </w:r>
            <w:r w:rsidR="006D2E93">
              <w:t xml:space="preserve"> </w:t>
            </w:r>
            <w:r w:rsidR="001D711E">
              <w:t>It applies to individual Board Members as well as the Board as a whole.</w:t>
            </w:r>
          </w:p>
        </w:tc>
      </w:tr>
      <w:tr w:rsidR="00014308" w:rsidRPr="00014308" w14:paraId="6367F09E" w14:textId="77777777" w:rsidTr="00E0725A">
        <w:trPr>
          <w:cantSplit/>
        </w:trPr>
        <w:tc>
          <w:tcPr>
            <w:tcW w:w="2628" w:type="dxa"/>
          </w:tcPr>
          <w:p w14:paraId="201327E5" w14:textId="1E3C70A8" w:rsidR="00014308" w:rsidRDefault="00254BA8" w:rsidP="001E786B">
            <w:pPr>
              <w:pStyle w:val="ListParagraph"/>
              <w:numPr>
                <w:ilvl w:val="0"/>
                <w:numId w:val="6"/>
              </w:numPr>
              <w:spacing w:before="120"/>
              <w:outlineLvl w:val="2"/>
              <w:rPr>
                <w:b/>
                <w:sz w:val="24"/>
              </w:rPr>
            </w:pPr>
            <w:r>
              <w:rPr>
                <w:b/>
                <w:sz w:val="24"/>
              </w:rPr>
              <w:t>Duty</w:t>
            </w:r>
            <w:r w:rsidR="00EC5691">
              <w:rPr>
                <w:b/>
                <w:sz w:val="24"/>
              </w:rPr>
              <w:t xml:space="preserve"> </w:t>
            </w:r>
            <w:r w:rsidR="000512D5">
              <w:rPr>
                <w:b/>
                <w:sz w:val="24"/>
              </w:rPr>
              <w:t>to Avoid Conflict of Interest</w:t>
            </w:r>
          </w:p>
        </w:tc>
        <w:tc>
          <w:tcPr>
            <w:tcW w:w="7344" w:type="dxa"/>
          </w:tcPr>
          <w:p w14:paraId="0A4DF35F" w14:textId="652A0CE8" w:rsidR="00EC5691" w:rsidRDefault="00EB6AFD" w:rsidP="00E0725A">
            <w:pPr>
              <w:spacing w:before="120"/>
            </w:pPr>
            <w:r w:rsidRPr="00EB6AFD">
              <w:t>Board Member</w:t>
            </w:r>
            <w:r w:rsidR="00EC5691">
              <w:t>s</w:t>
            </w:r>
            <w:r w:rsidRPr="00EB6AFD">
              <w:t xml:space="preserve"> must act in the best interests of the Institute</w:t>
            </w:r>
            <w:r w:rsidR="00756288">
              <w:t xml:space="preserve">, and </w:t>
            </w:r>
            <w:r w:rsidR="00F23448" w:rsidRPr="00F23448">
              <w:t>demonstrate the highest standard of care in order to avoid not only real conflicts of interest, but also to avoid the appearance of one.</w:t>
            </w:r>
            <w:r w:rsidR="004E6873">
              <w:t xml:space="preserve"> </w:t>
            </w:r>
          </w:p>
          <w:p w14:paraId="19EE3B5C" w14:textId="4FE7CA6F" w:rsidR="00014308" w:rsidRDefault="00EC5691" w:rsidP="00E0725A">
            <w:pPr>
              <w:spacing w:before="120"/>
            </w:pPr>
            <w:r w:rsidRPr="00EC5691">
              <w:t>Every Board Member shall perform his/her duties and arrange his/her personal affairs in such a manner that confidence and trust in the integrity, objectivity and impartiality of the Institute are maintained.</w:t>
            </w:r>
          </w:p>
        </w:tc>
      </w:tr>
      <w:tr w:rsidR="00E607E7" w:rsidRPr="00014308" w14:paraId="16DA5DAF" w14:textId="77777777" w:rsidTr="00E0725A">
        <w:trPr>
          <w:cantSplit/>
        </w:trPr>
        <w:tc>
          <w:tcPr>
            <w:tcW w:w="2628" w:type="dxa"/>
          </w:tcPr>
          <w:p w14:paraId="6052F946" w14:textId="78640A56" w:rsidR="00E607E7" w:rsidRDefault="00E607E7" w:rsidP="001E786B">
            <w:pPr>
              <w:pStyle w:val="ListParagraph"/>
              <w:numPr>
                <w:ilvl w:val="0"/>
                <w:numId w:val="6"/>
              </w:numPr>
              <w:spacing w:before="120"/>
              <w:outlineLvl w:val="2"/>
              <w:rPr>
                <w:b/>
                <w:sz w:val="24"/>
              </w:rPr>
            </w:pPr>
            <w:r>
              <w:rPr>
                <w:b/>
                <w:sz w:val="24"/>
              </w:rPr>
              <w:t>Acknowledgement</w:t>
            </w:r>
          </w:p>
        </w:tc>
        <w:tc>
          <w:tcPr>
            <w:tcW w:w="7344" w:type="dxa"/>
          </w:tcPr>
          <w:p w14:paraId="1445E4A9" w14:textId="77777777" w:rsidR="00960C6F" w:rsidRDefault="00960C6F" w:rsidP="00E0725A">
            <w:pPr>
              <w:spacing w:before="120"/>
            </w:pPr>
            <w:r w:rsidRPr="00960C6F">
              <w:t xml:space="preserve">Each director, before his/her election as a Board Member, is expected to </w:t>
            </w:r>
          </w:p>
          <w:p w14:paraId="11A6BD34" w14:textId="6A5D9A7E" w:rsidR="00960C6F" w:rsidRDefault="00960C6F" w:rsidP="00650202">
            <w:pPr>
              <w:pStyle w:val="ListParagraph"/>
              <w:numPr>
                <w:ilvl w:val="0"/>
                <w:numId w:val="10"/>
              </w:numPr>
              <w:spacing w:before="120"/>
              <w:contextualSpacing w:val="0"/>
            </w:pPr>
            <w:r w:rsidRPr="00960C6F">
              <w:t xml:space="preserve">review a copy of this Conflict of Interest Policy and </w:t>
            </w:r>
          </w:p>
          <w:p w14:paraId="03331206" w14:textId="77777777" w:rsidR="00650202" w:rsidRDefault="00960C6F" w:rsidP="00650202">
            <w:pPr>
              <w:pStyle w:val="ListParagraph"/>
              <w:numPr>
                <w:ilvl w:val="0"/>
                <w:numId w:val="10"/>
              </w:numPr>
              <w:spacing w:before="120"/>
              <w:contextualSpacing w:val="0"/>
            </w:pPr>
            <w:r w:rsidRPr="00960C6F">
              <w:t>to acknowledge in writing (in the form attached as Appendix</w:t>
            </w:r>
            <w:r w:rsidR="00BA2617">
              <w:t xml:space="preserve"> A to this Policy</w:t>
            </w:r>
            <w:r w:rsidRPr="00960C6F">
              <w:t xml:space="preserve">) having reviewed it and committing to complying with it. </w:t>
            </w:r>
          </w:p>
          <w:p w14:paraId="6A31E2E5" w14:textId="2C603DE4" w:rsidR="00E607E7" w:rsidRPr="00EB6AFD" w:rsidRDefault="00960C6F" w:rsidP="00650202">
            <w:pPr>
              <w:spacing w:before="120"/>
            </w:pPr>
            <w:r w:rsidRPr="00960C6F">
              <w:t>The Institute shall retain on file the documents signifying such review and commitment.</w:t>
            </w:r>
          </w:p>
        </w:tc>
      </w:tr>
      <w:tr w:rsidR="00FB1F72" w:rsidRPr="00014308" w14:paraId="327C9535" w14:textId="77777777" w:rsidTr="00E0725A">
        <w:trPr>
          <w:cantSplit/>
        </w:trPr>
        <w:tc>
          <w:tcPr>
            <w:tcW w:w="2628" w:type="dxa"/>
          </w:tcPr>
          <w:p w14:paraId="04AEB3BA" w14:textId="204A23AE" w:rsidR="00FB1F72" w:rsidRDefault="00FB1F72" w:rsidP="00BA2617">
            <w:pPr>
              <w:pStyle w:val="ListParagraph"/>
              <w:numPr>
                <w:ilvl w:val="0"/>
                <w:numId w:val="6"/>
              </w:numPr>
              <w:spacing w:before="120"/>
              <w:outlineLvl w:val="2"/>
              <w:rPr>
                <w:b/>
                <w:sz w:val="24"/>
              </w:rPr>
            </w:pPr>
            <w:r>
              <w:rPr>
                <w:b/>
                <w:sz w:val="24"/>
              </w:rPr>
              <w:t>Definition of Conflict of Interest</w:t>
            </w:r>
          </w:p>
        </w:tc>
        <w:tc>
          <w:tcPr>
            <w:tcW w:w="7344" w:type="dxa"/>
          </w:tcPr>
          <w:p w14:paraId="313891DE" w14:textId="7C20EF4B" w:rsidR="00AD3C2B" w:rsidRDefault="00AD3C2B" w:rsidP="00AD3C2B">
            <w:pPr>
              <w:spacing w:before="120"/>
            </w:pPr>
            <w:r>
              <w:t xml:space="preserve">A conflict of interest may be said to exist when a Board Member of the Institute has a material interest outside of the Institute that could influence him or her, or could be perceived to influence him or her to act in a manner that is </w:t>
            </w:r>
            <w:r w:rsidR="008B6F63">
              <w:t xml:space="preserve">biased or </w:t>
            </w:r>
            <w:r>
              <w:t>contrary to the best interests of the Institute.</w:t>
            </w:r>
          </w:p>
          <w:p w14:paraId="6240D06F" w14:textId="77777777" w:rsidR="00AD3C2B" w:rsidRDefault="00AD3C2B" w:rsidP="00AD3C2B">
            <w:pPr>
              <w:spacing w:before="120"/>
            </w:pPr>
            <w:r>
              <w:t>A conflict of interest includes a conferral of an advantage as determined in the opinion of the Board:</w:t>
            </w:r>
          </w:p>
          <w:p w14:paraId="6B891A8C" w14:textId="10C6A3AA" w:rsidR="00AD3C2B" w:rsidRDefault="00AD3C2B" w:rsidP="009A0A34">
            <w:pPr>
              <w:pStyle w:val="ListParagraph"/>
              <w:numPr>
                <w:ilvl w:val="1"/>
                <w:numId w:val="10"/>
              </w:numPr>
              <w:spacing w:before="120"/>
              <w:ind w:left="360"/>
              <w:contextualSpacing w:val="0"/>
            </w:pPr>
            <w:r>
              <w:t>whether or not the advantage is monetary;</w:t>
            </w:r>
          </w:p>
          <w:p w14:paraId="05CC601A" w14:textId="199A3A4B" w:rsidR="00AD3C2B" w:rsidRDefault="00AD3C2B" w:rsidP="009A0A34">
            <w:pPr>
              <w:pStyle w:val="ListParagraph"/>
              <w:numPr>
                <w:ilvl w:val="1"/>
                <w:numId w:val="10"/>
              </w:numPr>
              <w:spacing w:before="120"/>
              <w:ind w:left="360"/>
              <w:contextualSpacing w:val="0"/>
            </w:pPr>
            <w:r>
              <w:t xml:space="preserve">whether the conferral has already occurred or will occur in the future; </w:t>
            </w:r>
          </w:p>
          <w:p w14:paraId="0C8F8703" w14:textId="77DE4404" w:rsidR="00AD3C2B" w:rsidRDefault="00AD3C2B" w:rsidP="009A0A34">
            <w:pPr>
              <w:pStyle w:val="ListParagraph"/>
              <w:numPr>
                <w:ilvl w:val="1"/>
                <w:numId w:val="10"/>
              </w:numPr>
              <w:spacing w:before="120"/>
              <w:ind w:left="360"/>
              <w:contextualSpacing w:val="0"/>
            </w:pPr>
            <w:r>
              <w:t xml:space="preserve">whether the advantage has been bestowed on the Board Member, a family member (with the term “family member” to include the Board Member’s spouse, children, parents, siblings, or the spouses of such children, parents of such Board Member’s spouses, who are living with and/or financially supporting or supported by the Board Member), or an associate; </w:t>
            </w:r>
          </w:p>
          <w:p w14:paraId="718283E7" w14:textId="77777777" w:rsidR="00AD3C2B" w:rsidRDefault="00AD3C2B" w:rsidP="009A0A34">
            <w:pPr>
              <w:pStyle w:val="ListParagraph"/>
              <w:numPr>
                <w:ilvl w:val="1"/>
                <w:numId w:val="10"/>
              </w:numPr>
              <w:spacing w:before="120"/>
              <w:ind w:left="360"/>
              <w:contextualSpacing w:val="0"/>
            </w:pPr>
            <w:r>
              <w:t>whether or not the advantage is to the actual or perceived detriment of the Institute; and</w:t>
            </w:r>
          </w:p>
          <w:p w14:paraId="3D31970D" w14:textId="17AA9A22" w:rsidR="00FB1F72" w:rsidRPr="00EB6AFD" w:rsidRDefault="00AD3C2B" w:rsidP="009A0A34">
            <w:pPr>
              <w:pStyle w:val="ListParagraph"/>
              <w:numPr>
                <w:ilvl w:val="1"/>
                <w:numId w:val="10"/>
              </w:numPr>
              <w:spacing w:before="120"/>
              <w:ind w:left="360"/>
              <w:contextualSpacing w:val="0"/>
            </w:pPr>
            <w:r>
              <w:t>whether or not the conferral has occurred intentionally.</w:t>
            </w:r>
          </w:p>
        </w:tc>
      </w:tr>
      <w:tr w:rsidR="00593D66" w:rsidRPr="00014308" w14:paraId="78C934A3" w14:textId="77777777" w:rsidTr="00E0725A">
        <w:trPr>
          <w:cantSplit/>
        </w:trPr>
        <w:tc>
          <w:tcPr>
            <w:tcW w:w="2628" w:type="dxa"/>
          </w:tcPr>
          <w:p w14:paraId="73FC25A9" w14:textId="3AF3AC81" w:rsidR="00593D66" w:rsidRDefault="00593D66" w:rsidP="00BA2617">
            <w:pPr>
              <w:pStyle w:val="ListParagraph"/>
              <w:numPr>
                <w:ilvl w:val="0"/>
                <w:numId w:val="6"/>
              </w:numPr>
              <w:spacing w:before="120"/>
              <w:outlineLvl w:val="2"/>
              <w:rPr>
                <w:b/>
                <w:sz w:val="24"/>
              </w:rPr>
            </w:pPr>
            <w:r>
              <w:rPr>
                <w:b/>
                <w:sz w:val="24"/>
              </w:rPr>
              <w:lastRenderedPageBreak/>
              <w:t>Determination of Conflict of Interest</w:t>
            </w:r>
          </w:p>
        </w:tc>
        <w:tc>
          <w:tcPr>
            <w:tcW w:w="7344" w:type="dxa"/>
          </w:tcPr>
          <w:p w14:paraId="34A74D67" w14:textId="1D7F0E94" w:rsidR="00593D66" w:rsidRDefault="00FA370E" w:rsidP="00AD3C2B">
            <w:pPr>
              <w:spacing w:before="120"/>
            </w:pPr>
            <w:r>
              <w:t>T</w:t>
            </w:r>
            <w:r w:rsidRPr="00FA370E">
              <w:t xml:space="preserve">he final decision on whether a </w:t>
            </w:r>
            <w:r w:rsidR="00D9384C">
              <w:t>Board Member</w:t>
            </w:r>
            <w:r w:rsidRPr="00FA370E">
              <w:t xml:space="preserve"> is in a conflict of interest situation shall be made by the Board.</w:t>
            </w:r>
          </w:p>
          <w:p w14:paraId="2B3DB158" w14:textId="663DFC56" w:rsidR="00FA370E" w:rsidRDefault="00CD20DC" w:rsidP="00AD3C2B">
            <w:pPr>
              <w:spacing w:before="120"/>
            </w:pPr>
            <w:r w:rsidRPr="00CD20DC">
              <w:t xml:space="preserve">If a Board Member is unsure if he or she is in a conflict of interest situation or if a substantial change has occurred that may materially alter the information </w:t>
            </w:r>
            <w:r>
              <w:t xml:space="preserve">previously </w:t>
            </w:r>
            <w:r w:rsidRPr="00CD20DC">
              <w:t>disclosed, he or she shall disclose the relevant circumstances and ask the President for feedback and guidance on the matter. If requested to do so by the Board, the President may make recommendations to the Board on whether or not a Board Member is in a conflict of interest situation.</w:t>
            </w:r>
          </w:p>
        </w:tc>
      </w:tr>
      <w:tr w:rsidR="00BF466A" w:rsidRPr="00014308" w14:paraId="43383167" w14:textId="77777777" w:rsidTr="00E0725A">
        <w:trPr>
          <w:cantSplit/>
        </w:trPr>
        <w:tc>
          <w:tcPr>
            <w:tcW w:w="2628" w:type="dxa"/>
          </w:tcPr>
          <w:p w14:paraId="08332D60" w14:textId="7BD41BA3" w:rsidR="00BF466A" w:rsidRDefault="00BF466A" w:rsidP="00650202">
            <w:pPr>
              <w:pStyle w:val="ListParagraph"/>
              <w:numPr>
                <w:ilvl w:val="0"/>
                <w:numId w:val="6"/>
              </w:numPr>
              <w:spacing w:before="120"/>
              <w:outlineLvl w:val="2"/>
              <w:rPr>
                <w:b/>
                <w:sz w:val="24"/>
              </w:rPr>
            </w:pPr>
            <w:r>
              <w:rPr>
                <w:b/>
                <w:sz w:val="24"/>
              </w:rPr>
              <w:t>Situations</w:t>
            </w:r>
            <w:r w:rsidR="00F456A1">
              <w:rPr>
                <w:b/>
                <w:sz w:val="24"/>
              </w:rPr>
              <w:t xml:space="preserve"> that May Give Rise to Conflict of Interest</w:t>
            </w:r>
          </w:p>
        </w:tc>
        <w:tc>
          <w:tcPr>
            <w:tcW w:w="7344" w:type="dxa"/>
          </w:tcPr>
          <w:p w14:paraId="62677443" w14:textId="18720B8C" w:rsidR="00796DD4" w:rsidRDefault="00796DD4" w:rsidP="00796DD4">
            <w:pPr>
              <w:spacing w:before="120"/>
            </w:pPr>
            <w:r>
              <w:t>The following situations may give rise to a conflict of interest for Board Members as determined in the sole opinion of the Board:</w:t>
            </w:r>
          </w:p>
          <w:p w14:paraId="35E41DE9" w14:textId="3BDC34B6" w:rsidR="00796DD4" w:rsidRDefault="00796DD4" w:rsidP="00650202">
            <w:pPr>
              <w:pStyle w:val="ListParagraph"/>
              <w:numPr>
                <w:ilvl w:val="1"/>
                <w:numId w:val="11"/>
              </w:numPr>
              <w:spacing w:before="120"/>
              <w:ind w:left="357"/>
              <w:contextualSpacing w:val="0"/>
            </w:pPr>
            <w:r>
              <w:t>where a Board Member, a family member, or a personal friend, business partner or business associate, has a direct or indirect financial interest in another corporation with which the Board Member is doing business;</w:t>
            </w:r>
          </w:p>
          <w:p w14:paraId="0B5C38E2" w14:textId="44C29A0B" w:rsidR="00796DD4" w:rsidRDefault="00796DD4" w:rsidP="00650202">
            <w:pPr>
              <w:pStyle w:val="ListParagraph"/>
              <w:numPr>
                <w:ilvl w:val="1"/>
                <w:numId w:val="11"/>
              </w:numPr>
              <w:spacing w:before="120"/>
              <w:ind w:left="357"/>
              <w:contextualSpacing w:val="0"/>
            </w:pPr>
            <w:r>
              <w:t>where a Board Member competes with the Institute in the rendering of services;</w:t>
            </w:r>
          </w:p>
          <w:p w14:paraId="6BFEE348" w14:textId="6636C794" w:rsidR="00796DD4" w:rsidRDefault="00796DD4" w:rsidP="00650202">
            <w:pPr>
              <w:pStyle w:val="ListParagraph"/>
              <w:numPr>
                <w:ilvl w:val="1"/>
                <w:numId w:val="11"/>
              </w:numPr>
              <w:spacing w:before="120"/>
              <w:ind w:left="357"/>
              <w:contextualSpacing w:val="0"/>
            </w:pPr>
            <w:r>
              <w:t xml:space="preserve">where a Board Member serves as a director, officer or employee of an entity which results in there being conflicting duties owed to that entity and to the Institute; </w:t>
            </w:r>
          </w:p>
          <w:p w14:paraId="74866708" w14:textId="77777777" w:rsidR="00796DD4" w:rsidRDefault="00796DD4" w:rsidP="00650202">
            <w:pPr>
              <w:pStyle w:val="ListParagraph"/>
              <w:numPr>
                <w:ilvl w:val="1"/>
                <w:numId w:val="11"/>
              </w:numPr>
              <w:spacing w:before="120"/>
              <w:ind w:left="357"/>
              <w:contextualSpacing w:val="0"/>
            </w:pPr>
            <w:r>
              <w:t xml:space="preserve">where a Board Member is the subject of a formal allegation of misconduct under the Dispute Resolution and Discipline Policy (“DRDP”) and the Board is considering such Board Members discipline, or where a Board Member has made formal allegations of misconduct with respect to another Board Member under consideration; or </w:t>
            </w:r>
          </w:p>
          <w:p w14:paraId="2E606610" w14:textId="7E433CF4" w:rsidR="00BF466A" w:rsidRDefault="00796DD4" w:rsidP="00650202">
            <w:pPr>
              <w:pStyle w:val="ListParagraph"/>
              <w:numPr>
                <w:ilvl w:val="1"/>
                <w:numId w:val="11"/>
              </w:numPr>
              <w:spacing w:before="120"/>
              <w:ind w:left="357"/>
              <w:contextualSpacing w:val="0"/>
            </w:pPr>
            <w:r>
              <w:t>where a Board either has a private or personal interest, or has engaged in or not engaged in certain acts, which negatively impacts their ability to be a Board acting in the best interests of the Institute or to properly carry out their duties and responsibilities as a director.</w:t>
            </w:r>
          </w:p>
        </w:tc>
      </w:tr>
      <w:tr w:rsidR="001D0CB5" w:rsidRPr="00014308" w14:paraId="032FA64A" w14:textId="77777777" w:rsidTr="00E0725A">
        <w:trPr>
          <w:cantSplit/>
        </w:trPr>
        <w:tc>
          <w:tcPr>
            <w:tcW w:w="2628" w:type="dxa"/>
          </w:tcPr>
          <w:p w14:paraId="25B3DB6B" w14:textId="2A61EBC3" w:rsidR="001D0CB5" w:rsidRDefault="001D0CB5" w:rsidP="00650202">
            <w:pPr>
              <w:pStyle w:val="ListParagraph"/>
              <w:numPr>
                <w:ilvl w:val="0"/>
                <w:numId w:val="6"/>
              </w:numPr>
              <w:spacing w:before="120"/>
              <w:outlineLvl w:val="2"/>
              <w:rPr>
                <w:b/>
                <w:sz w:val="24"/>
              </w:rPr>
            </w:pPr>
            <w:r>
              <w:rPr>
                <w:b/>
                <w:sz w:val="24"/>
              </w:rPr>
              <w:t xml:space="preserve">Situations that Do Not </w:t>
            </w:r>
            <w:r w:rsidR="004B70DD">
              <w:rPr>
                <w:b/>
                <w:sz w:val="24"/>
              </w:rPr>
              <w:t xml:space="preserve">Generally </w:t>
            </w:r>
            <w:r>
              <w:rPr>
                <w:b/>
                <w:sz w:val="24"/>
              </w:rPr>
              <w:t>Give Rise to a Conflict of Interest</w:t>
            </w:r>
          </w:p>
        </w:tc>
        <w:tc>
          <w:tcPr>
            <w:tcW w:w="7344" w:type="dxa"/>
          </w:tcPr>
          <w:p w14:paraId="327F35E5" w14:textId="77777777" w:rsidR="004B70DD" w:rsidRDefault="004B70DD" w:rsidP="004B70DD">
            <w:pPr>
              <w:spacing w:before="120"/>
            </w:pPr>
            <w:r>
              <w:t>Subject to the review and sole discretion of the Board, a conflict of interest will not generally arise in the following situations:</w:t>
            </w:r>
          </w:p>
          <w:p w14:paraId="554369DB" w14:textId="7207EB4A" w:rsidR="004B70DD" w:rsidRDefault="004B70DD" w:rsidP="00650202">
            <w:pPr>
              <w:pStyle w:val="ListParagraph"/>
              <w:numPr>
                <w:ilvl w:val="1"/>
                <w:numId w:val="13"/>
              </w:numPr>
              <w:spacing w:before="120"/>
              <w:ind w:left="357"/>
              <w:contextualSpacing w:val="0"/>
            </w:pPr>
            <w:r>
              <w:t>where the interest is so remote or insignificant that it cannot reasonably be regarded as likely to influence the Board Member, or where a pecuniary interest is in common with a broad group of which the Board Member is a member; or</w:t>
            </w:r>
          </w:p>
          <w:p w14:paraId="1640E455" w14:textId="40CADCAE" w:rsidR="004B70DD" w:rsidRDefault="004B70DD" w:rsidP="00650202">
            <w:pPr>
              <w:pStyle w:val="ListParagraph"/>
              <w:numPr>
                <w:ilvl w:val="1"/>
                <w:numId w:val="13"/>
              </w:numPr>
              <w:spacing w:before="120"/>
              <w:ind w:left="357"/>
              <w:contextualSpacing w:val="0"/>
            </w:pPr>
            <w:r>
              <w:t>where the issue is one of general or public information; or</w:t>
            </w:r>
          </w:p>
          <w:p w14:paraId="7FF55E4D" w14:textId="09CC8A0F" w:rsidR="001D0CB5" w:rsidRDefault="004B70DD" w:rsidP="00650202">
            <w:pPr>
              <w:pStyle w:val="ListParagraph"/>
              <w:numPr>
                <w:ilvl w:val="1"/>
                <w:numId w:val="13"/>
              </w:numPr>
              <w:spacing w:before="120"/>
              <w:ind w:left="357"/>
              <w:contextualSpacing w:val="0"/>
            </w:pPr>
            <w:r>
              <w:t>where the issue is one in common with the membership of the Institute.</w:t>
            </w:r>
          </w:p>
        </w:tc>
      </w:tr>
      <w:tr w:rsidR="0020472D" w:rsidRPr="00014308" w14:paraId="4D08BA10" w14:textId="77777777" w:rsidTr="00E0725A">
        <w:trPr>
          <w:cantSplit/>
        </w:trPr>
        <w:tc>
          <w:tcPr>
            <w:tcW w:w="2628" w:type="dxa"/>
          </w:tcPr>
          <w:p w14:paraId="544D3A15" w14:textId="5864B02E" w:rsidR="0020472D" w:rsidRDefault="00B4418C" w:rsidP="00650202">
            <w:pPr>
              <w:pStyle w:val="ListParagraph"/>
              <w:numPr>
                <w:ilvl w:val="0"/>
                <w:numId w:val="6"/>
              </w:numPr>
              <w:spacing w:before="120"/>
              <w:outlineLvl w:val="2"/>
              <w:rPr>
                <w:b/>
                <w:sz w:val="24"/>
              </w:rPr>
            </w:pPr>
            <w:r>
              <w:rPr>
                <w:b/>
                <w:sz w:val="24"/>
              </w:rPr>
              <w:lastRenderedPageBreak/>
              <w:t>Duty to Disclose</w:t>
            </w:r>
          </w:p>
        </w:tc>
        <w:tc>
          <w:tcPr>
            <w:tcW w:w="7344" w:type="dxa"/>
          </w:tcPr>
          <w:p w14:paraId="0C792E5D" w14:textId="34F1D7E7" w:rsidR="00A5203F" w:rsidRDefault="00B4418C" w:rsidP="008E2D0F">
            <w:pPr>
              <w:spacing w:before="120"/>
            </w:pPr>
            <w:r w:rsidRPr="00551202">
              <w:t>A Board Member has a duty to disclose at the first opportunity any actual or perceived conflict of interest. The onus for such disclosure is on the Board Member</w:t>
            </w:r>
            <w:r w:rsidR="007E4FB8">
              <w:t>, and is required at the following times:</w:t>
            </w:r>
          </w:p>
          <w:p w14:paraId="11A20E43" w14:textId="70CB732F" w:rsidR="007E4FB8" w:rsidRDefault="00115950" w:rsidP="007E4FB8">
            <w:pPr>
              <w:pStyle w:val="ListParagraph"/>
              <w:numPr>
                <w:ilvl w:val="0"/>
                <w:numId w:val="14"/>
              </w:numPr>
              <w:spacing w:before="120"/>
            </w:pPr>
            <w:r w:rsidRPr="0075741B">
              <w:rPr>
                <w:b/>
              </w:rPr>
              <w:t>Initial disclosure</w:t>
            </w:r>
            <w:r>
              <w:t>: w</w:t>
            </w:r>
            <w:r w:rsidR="007E4FB8">
              <w:t>ithin 30 days of initial election or appointment to the Board</w:t>
            </w:r>
            <w:r>
              <w:t>, using the form in Appendix B.</w:t>
            </w:r>
          </w:p>
          <w:p w14:paraId="556543CA" w14:textId="480EBB59" w:rsidR="00115950" w:rsidRDefault="00115950" w:rsidP="007E4FB8">
            <w:pPr>
              <w:pStyle w:val="ListParagraph"/>
              <w:numPr>
                <w:ilvl w:val="0"/>
                <w:numId w:val="14"/>
              </w:numPr>
              <w:spacing w:before="120"/>
            </w:pPr>
            <w:r w:rsidRPr="0075741B">
              <w:rPr>
                <w:b/>
              </w:rPr>
              <w:t>Annual disclosure</w:t>
            </w:r>
            <w:r>
              <w:t xml:space="preserve">: </w:t>
            </w:r>
            <w:r w:rsidR="00D343CA">
              <w:t>every year for as long as the Board Member remains in office</w:t>
            </w:r>
            <w:r w:rsidR="0075741B">
              <w:t>, using the form in Appendix C.</w:t>
            </w:r>
          </w:p>
          <w:p w14:paraId="421C5ED0" w14:textId="77777777" w:rsidR="0075741B" w:rsidRDefault="00493161" w:rsidP="007E4FB8">
            <w:pPr>
              <w:pStyle w:val="ListParagraph"/>
              <w:numPr>
                <w:ilvl w:val="0"/>
                <w:numId w:val="14"/>
              </w:numPr>
              <w:spacing w:before="120"/>
            </w:pPr>
            <w:r w:rsidRPr="00F5226D">
              <w:rPr>
                <w:b/>
              </w:rPr>
              <w:t>C</w:t>
            </w:r>
            <w:r w:rsidR="00211255" w:rsidRPr="00F5226D">
              <w:rPr>
                <w:b/>
              </w:rPr>
              <w:t>hange</w:t>
            </w:r>
            <w:r w:rsidR="00C633B4" w:rsidRPr="00F5226D">
              <w:rPr>
                <w:b/>
              </w:rPr>
              <w:t xml:space="preserve"> of circumstances</w:t>
            </w:r>
            <w:r w:rsidR="00211255">
              <w:t xml:space="preserve">: </w:t>
            </w:r>
            <w:r w:rsidR="00C633B4">
              <w:t xml:space="preserve">Whenever </w:t>
            </w:r>
            <w:r w:rsidRPr="00493161">
              <w:t>substantial changes occur that a Board Member believes may materially alter the information disclosed in his/her Initial Disclosure Form or his/her last Annual Disclosure Form,</w:t>
            </w:r>
            <w:r w:rsidR="00C633B4">
              <w:t xml:space="preserve"> using the form </w:t>
            </w:r>
            <w:r w:rsidR="00F5226D">
              <w:t>included in Appendix C.</w:t>
            </w:r>
          </w:p>
          <w:p w14:paraId="31BA2420" w14:textId="7DA99FD1" w:rsidR="002B54F6" w:rsidRPr="00551202" w:rsidRDefault="00C24B72" w:rsidP="007E4FB8">
            <w:pPr>
              <w:pStyle w:val="ListParagraph"/>
              <w:numPr>
                <w:ilvl w:val="0"/>
                <w:numId w:val="14"/>
              </w:numPr>
              <w:spacing w:before="120"/>
            </w:pPr>
            <w:r w:rsidRPr="00C24B72">
              <w:rPr>
                <w:b/>
              </w:rPr>
              <w:t>At a Board meeting</w:t>
            </w:r>
            <w:r>
              <w:t xml:space="preserve">: </w:t>
            </w:r>
            <w:r w:rsidRPr="00C24B72">
              <w:t>Every Board Member who, either directly or through one of his or her family members or associates, has or thinks he or she may potentially have a conflict of interest with respect to a proposed or current contract, transaction, matter or decision of the Institute, or for any other reason in accordance with this Policy, shall disclose the nature and extent of the conflict of interest at a Board meeting.</w:t>
            </w:r>
            <w:r w:rsidR="00780AD9">
              <w:t xml:space="preserve"> </w:t>
            </w:r>
            <w:r w:rsidR="00780AD9" w:rsidRPr="00780AD9">
              <w:t>The declaration of conflict of interest shall be disclosed at the Board meeting at which the contract, transaction, matter or decision is first raised.</w:t>
            </w:r>
            <w:r w:rsidR="00A7308C">
              <w:t xml:space="preserve"> </w:t>
            </w:r>
            <w:r w:rsidR="00A7308C" w:rsidRPr="00A7308C">
              <w:t>If the Board Member, or his or her family members or associates, becomes interested in a contract, transaction, matter or decision after the Board meeting at which it is first raised, the Board Member shall make a declaration at the next Board meeting following the Board Member’s perception or apprehension of a conflict of interest.</w:t>
            </w:r>
          </w:p>
        </w:tc>
      </w:tr>
      <w:tr w:rsidR="00017332" w:rsidRPr="00014308" w14:paraId="19365A03" w14:textId="77777777" w:rsidTr="00E0725A">
        <w:trPr>
          <w:cantSplit/>
        </w:trPr>
        <w:tc>
          <w:tcPr>
            <w:tcW w:w="2628" w:type="dxa"/>
          </w:tcPr>
          <w:p w14:paraId="538FD171" w14:textId="6600F848" w:rsidR="00017332" w:rsidRDefault="00017332" w:rsidP="00650202">
            <w:pPr>
              <w:pStyle w:val="ListParagraph"/>
              <w:numPr>
                <w:ilvl w:val="0"/>
                <w:numId w:val="6"/>
              </w:numPr>
              <w:spacing w:before="120"/>
              <w:outlineLvl w:val="2"/>
              <w:rPr>
                <w:b/>
                <w:sz w:val="24"/>
              </w:rPr>
            </w:pPr>
            <w:r>
              <w:rPr>
                <w:b/>
                <w:sz w:val="24"/>
              </w:rPr>
              <w:t>Confidentiality</w:t>
            </w:r>
          </w:p>
        </w:tc>
        <w:tc>
          <w:tcPr>
            <w:tcW w:w="7344" w:type="dxa"/>
          </w:tcPr>
          <w:p w14:paraId="4F62B7EA" w14:textId="5419569E" w:rsidR="00017332" w:rsidRPr="00551202" w:rsidRDefault="00017332" w:rsidP="008E2D0F">
            <w:pPr>
              <w:spacing w:before="120"/>
            </w:pPr>
            <w:r w:rsidRPr="00017332">
              <w:t xml:space="preserve">Information concerning the private interests of Board Members provided to the Institute shall be treated in complete confidence, with such information to be placed in special files and in secure safekeeping in the same manner as closed session minutes of meetings of the Board and in accordance with the terms of </w:t>
            </w:r>
            <w:r w:rsidR="00940FA7">
              <w:t>the Institute’s</w:t>
            </w:r>
            <w:r w:rsidRPr="00017332">
              <w:t xml:space="preserve"> </w:t>
            </w:r>
            <w:r w:rsidR="00940FA7">
              <w:t>policy on P</w:t>
            </w:r>
            <w:r w:rsidRPr="00017332">
              <w:t>rivacy.</w:t>
            </w:r>
          </w:p>
        </w:tc>
      </w:tr>
      <w:tr w:rsidR="00DD04A2" w:rsidRPr="00014308" w14:paraId="14685BFA" w14:textId="77777777" w:rsidTr="00E0725A">
        <w:trPr>
          <w:cantSplit/>
        </w:trPr>
        <w:tc>
          <w:tcPr>
            <w:tcW w:w="2628" w:type="dxa"/>
          </w:tcPr>
          <w:p w14:paraId="39427756" w14:textId="55EC8238" w:rsidR="00DD04A2" w:rsidRDefault="00DD04A2" w:rsidP="00650202">
            <w:pPr>
              <w:pStyle w:val="ListParagraph"/>
              <w:numPr>
                <w:ilvl w:val="0"/>
                <w:numId w:val="6"/>
              </w:numPr>
              <w:spacing w:before="120"/>
              <w:outlineLvl w:val="2"/>
              <w:rPr>
                <w:b/>
                <w:sz w:val="24"/>
              </w:rPr>
            </w:pPr>
            <w:r>
              <w:rPr>
                <w:b/>
                <w:sz w:val="24"/>
              </w:rPr>
              <w:t>Board Meeting Procedures</w:t>
            </w:r>
          </w:p>
        </w:tc>
        <w:tc>
          <w:tcPr>
            <w:tcW w:w="7344" w:type="dxa"/>
          </w:tcPr>
          <w:p w14:paraId="7B1032DD" w14:textId="77777777" w:rsidR="00DD04A2" w:rsidRDefault="008E3E8C" w:rsidP="008E2D0F">
            <w:pPr>
              <w:spacing w:before="120"/>
            </w:pPr>
            <w:r w:rsidRPr="008E3E8C">
              <w:t>Every declaration of conflict of interest shall be recorded in the minutes of the open or closed sessions of the meeting by the recording secretary.</w:t>
            </w:r>
          </w:p>
          <w:p w14:paraId="45E8F0BD" w14:textId="33CDD51A" w:rsidR="008E3E8C" w:rsidRPr="00551202" w:rsidRDefault="00927378" w:rsidP="008E2D0F">
            <w:pPr>
              <w:spacing w:before="120"/>
            </w:pPr>
            <w:r w:rsidRPr="00927378">
              <w:t xml:space="preserve">After </w:t>
            </w:r>
            <w:r>
              <w:t>having declared a conflict of interest</w:t>
            </w:r>
            <w:r w:rsidRPr="00927378">
              <w:t xml:space="preserve">, </w:t>
            </w:r>
            <w:r w:rsidR="00FD2ED4">
              <w:t xml:space="preserve">a </w:t>
            </w:r>
            <w:r w:rsidRPr="00927378">
              <w:t xml:space="preserve">Board Member shall </w:t>
            </w:r>
            <w:r w:rsidR="00FD2ED4">
              <w:t xml:space="preserve">not </w:t>
            </w:r>
            <w:r w:rsidRPr="00927378">
              <w:t xml:space="preserve">vote or be present at the vote or during the discussions, or otherwise attempt to influence the voting, on a contract, transaction, matter or decision, nor shall the Board Member be counted in any required quorum with respect to the vote. The Board Member’s departure from the room </w:t>
            </w:r>
            <w:r w:rsidR="003435B7">
              <w:t>shall</w:t>
            </w:r>
            <w:r w:rsidRPr="00927378">
              <w:t xml:space="preserve"> be noted in the minutes. After discussion from the Board on a contract, transaction, matter or decision, the Board Member will return and the return </w:t>
            </w:r>
            <w:r w:rsidR="003435B7">
              <w:t xml:space="preserve">shall </w:t>
            </w:r>
            <w:r w:rsidRPr="00927378">
              <w:t>be noted in the minutes.</w:t>
            </w:r>
          </w:p>
        </w:tc>
      </w:tr>
      <w:tr w:rsidR="00EF6D9B" w:rsidRPr="00014308" w14:paraId="308140FF" w14:textId="77777777" w:rsidTr="00E0725A">
        <w:trPr>
          <w:cantSplit/>
        </w:trPr>
        <w:tc>
          <w:tcPr>
            <w:tcW w:w="2628" w:type="dxa"/>
          </w:tcPr>
          <w:p w14:paraId="5E6FC962" w14:textId="5C73B69F" w:rsidR="00EF6D9B" w:rsidRDefault="00EF6D9B" w:rsidP="00650202">
            <w:pPr>
              <w:pStyle w:val="ListParagraph"/>
              <w:numPr>
                <w:ilvl w:val="0"/>
                <w:numId w:val="6"/>
              </w:numPr>
              <w:spacing w:before="120"/>
              <w:outlineLvl w:val="2"/>
              <w:rPr>
                <w:b/>
                <w:sz w:val="24"/>
              </w:rPr>
            </w:pPr>
            <w:r>
              <w:rPr>
                <w:b/>
                <w:sz w:val="24"/>
              </w:rPr>
              <w:lastRenderedPageBreak/>
              <w:t>Allegations of Conflict of Interest</w:t>
            </w:r>
            <w:r w:rsidR="00FA62FD">
              <w:rPr>
                <w:b/>
                <w:sz w:val="24"/>
              </w:rPr>
              <w:t xml:space="preserve"> by Another Board Member</w:t>
            </w:r>
          </w:p>
        </w:tc>
        <w:tc>
          <w:tcPr>
            <w:tcW w:w="7344" w:type="dxa"/>
          </w:tcPr>
          <w:p w14:paraId="6691642D" w14:textId="77777777" w:rsidR="003E1BCD" w:rsidRDefault="003E1BCD" w:rsidP="008E2D0F">
            <w:pPr>
              <w:spacing w:before="120"/>
            </w:pPr>
            <w:r w:rsidRPr="003E1BCD">
              <w:t xml:space="preserve">If a Board Member believes that any other Board Member is in a conflict of interest position with respect to any contract, transaction, matter or decision of the Institute or otherwise in accordance with this Policy, the Board Member shall have his or her concern recorded in the minutes, and the Board Member with the alleged conflict of interest shall have the right to address the Board with respect to the allegation. </w:t>
            </w:r>
          </w:p>
          <w:p w14:paraId="7498C4AA" w14:textId="40FD83B2" w:rsidR="003E1BCD" w:rsidRDefault="003E1BCD" w:rsidP="008E2D0F">
            <w:pPr>
              <w:spacing w:before="120"/>
            </w:pPr>
            <w:r w:rsidRPr="003E1BCD">
              <w:t xml:space="preserve">Thereafter, at the request of the Board Member who recorded the initial concern, the Board, after the Board Member alleged to have a conflict of interest has absented himself or herself from the room, shall vote on whether the Board Member alleged to have a conflict of interest is, in the opinion of the Board, in a conflict of interest. </w:t>
            </w:r>
            <w:r w:rsidR="00C24118" w:rsidRPr="003E1BCD">
              <w:t xml:space="preserve">The question shall be determined by a simple majority of the Board and </w:t>
            </w:r>
            <w:r w:rsidR="001E7778">
              <w:t xml:space="preserve">the vote </w:t>
            </w:r>
            <w:r w:rsidR="00C24118" w:rsidRPr="003E1BCD">
              <w:t>shall be final.</w:t>
            </w:r>
          </w:p>
          <w:p w14:paraId="5B68CDF4" w14:textId="538FF07A" w:rsidR="00C24118" w:rsidRDefault="003E1BCD" w:rsidP="008E2D0F">
            <w:pPr>
              <w:spacing w:before="120"/>
            </w:pPr>
            <w:r w:rsidRPr="003E1BCD">
              <w:t xml:space="preserve">If the Board finds the said Board Member in a conflict of interest, that interested Board Member shall absent himself or herself during any subsequent discussion or voting process relating to or pertaining to the conflict. </w:t>
            </w:r>
          </w:p>
          <w:p w14:paraId="018D9B08" w14:textId="726302A1" w:rsidR="00EF6D9B" w:rsidRPr="008E3E8C" w:rsidRDefault="003E1BCD" w:rsidP="008E2D0F">
            <w:pPr>
              <w:spacing w:before="120"/>
            </w:pPr>
            <w:r w:rsidRPr="003E1BCD">
              <w:t>If the Board finds that the said Board Member is not in a conflict of interest, the Board will then vote on the contract, transaction, matter or decision and the votes of each Board Member shall be recorded.</w:t>
            </w:r>
          </w:p>
        </w:tc>
      </w:tr>
      <w:tr w:rsidR="00F218B1" w:rsidRPr="00014308" w14:paraId="36574A99" w14:textId="77777777" w:rsidTr="00AA4FEC">
        <w:trPr>
          <w:cantSplit/>
        </w:trPr>
        <w:tc>
          <w:tcPr>
            <w:tcW w:w="2628" w:type="dxa"/>
          </w:tcPr>
          <w:p w14:paraId="7E05C287" w14:textId="77777777" w:rsidR="00F218B1" w:rsidRDefault="00F218B1" w:rsidP="00AA4FEC">
            <w:pPr>
              <w:pStyle w:val="ListParagraph"/>
              <w:numPr>
                <w:ilvl w:val="0"/>
                <w:numId w:val="6"/>
              </w:numPr>
              <w:spacing w:before="120"/>
              <w:outlineLvl w:val="2"/>
              <w:rPr>
                <w:b/>
                <w:sz w:val="24"/>
              </w:rPr>
            </w:pPr>
            <w:r>
              <w:rPr>
                <w:b/>
                <w:sz w:val="24"/>
              </w:rPr>
              <w:t>Bias</w:t>
            </w:r>
          </w:p>
        </w:tc>
        <w:tc>
          <w:tcPr>
            <w:tcW w:w="7344" w:type="dxa"/>
          </w:tcPr>
          <w:p w14:paraId="3E04C222" w14:textId="77777777" w:rsidR="00F218B1" w:rsidRDefault="00F218B1" w:rsidP="00AA4FEC">
            <w:pPr>
              <w:spacing w:before="120"/>
            </w:pPr>
            <w:r>
              <w:t>Where the Executive Committee or the Board of Directors is delegated the power to act in an adjudicative capacity, members of those bodies have the duty to act fairly and with impartiality, so as to avoid the decision being tainted by bias or a reasonable apprehension of bias.</w:t>
            </w:r>
          </w:p>
          <w:p w14:paraId="57986D63" w14:textId="77777777" w:rsidR="00F218B1" w:rsidRDefault="00F218B1" w:rsidP="00AA4FEC">
            <w:pPr>
              <w:spacing w:before="120"/>
            </w:pPr>
            <w:r>
              <w:t>Aside from a direct or indirect pecuniary interest, a decision-maker may be disqualified if he or she has a personal interest in the outcome. Facts giving rise to a reasonable apprehension of bias may include: a decision-maker's familial relationship with an affected party; whether the decision-maker has represented an affected party; whether the decision-maker has made statements prior to the decision-making process that call into question their neutrality.</w:t>
            </w:r>
          </w:p>
          <w:p w14:paraId="0DA96368" w14:textId="77777777" w:rsidR="00F218B1" w:rsidRDefault="00F218B1" w:rsidP="00AA4FEC">
            <w:pPr>
              <w:spacing w:before="120"/>
            </w:pPr>
            <w:r>
              <w:t>Concerns due to a potential bias with respect to any member of the Executive Committee or Board of Directors sitting in an adjudicative capacity must be resolved at the outset of the decision-making process. The decision-makers shall rule on the issue by a majority vote as required and the biased member will be removed from the decision-making process.</w:t>
            </w:r>
          </w:p>
        </w:tc>
      </w:tr>
      <w:tr w:rsidR="00DF32E1" w:rsidRPr="00014308" w14:paraId="38DDB7C1" w14:textId="77777777" w:rsidTr="00E0725A">
        <w:trPr>
          <w:cantSplit/>
        </w:trPr>
        <w:tc>
          <w:tcPr>
            <w:tcW w:w="2628" w:type="dxa"/>
          </w:tcPr>
          <w:p w14:paraId="49D25C6E" w14:textId="07BF9428" w:rsidR="00DF32E1" w:rsidRDefault="00DF32E1" w:rsidP="00650202">
            <w:pPr>
              <w:pStyle w:val="ListParagraph"/>
              <w:numPr>
                <w:ilvl w:val="0"/>
                <w:numId w:val="6"/>
              </w:numPr>
              <w:spacing w:before="120"/>
              <w:outlineLvl w:val="2"/>
              <w:rPr>
                <w:b/>
                <w:sz w:val="24"/>
              </w:rPr>
            </w:pPr>
            <w:r>
              <w:rPr>
                <w:b/>
                <w:sz w:val="24"/>
              </w:rPr>
              <w:lastRenderedPageBreak/>
              <w:t>Breach of Policy</w:t>
            </w:r>
          </w:p>
        </w:tc>
        <w:tc>
          <w:tcPr>
            <w:tcW w:w="7344" w:type="dxa"/>
          </w:tcPr>
          <w:p w14:paraId="10B196E3" w14:textId="77777777" w:rsidR="00DF32E1" w:rsidRDefault="00DF32E1" w:rsidP="00DF32E1">
            <w:pPr>
              <w:spacing w:before="120"/>
            </w:pPr>
            <w:r>
              <w:t>Breaches of this Policy by Board Members include, but are not limited to, the following:</w:t>
            </w:r>
          </w:p>
          <w:p w14:paraId="07F630ED" w14:textId="08621E33" w:rsidR="00DF32E1" w:rsidRDefault="00DF32E1" w:rsidP="00DF32E1">
            <w:pPr>
              <w:pStyle w:val="ListParagraph"/>
              <w:numPr>
                <w:ilvl w:val="1"/>
                <w:numId w:val="15"/>
              </w:numPr>
              <w:spacing w:before="120"/>
              <w:ind w:left="357"/>
              <w:contextualSpacing w:val="0"/>
            </w:pPr>
            <w:r>
              <w:t>failure to file an Initial Disclosure Form or Annual Disclosure Form;</w:t>
            </w:r>
          </w:p>
          <w:p w14:paraId="0ABF98E4" w14:textId="573D4FFB" w:rsidR="00DF32E1" w:rsidRDefault="00DF32E1" w:rsidP="00DF32E1">
            <w:pPr>
              <w:pStyle w:val="ListParagraph"/>
              <w:numPr>
                <w:ilvl w:val="1"/>
                <w:numId w:val="15"/>
              </w:numPr>
              <w:spacing w:before="120"/>
              <w:ind w:left="357"/>
              <w:contextualSpacing w:val="0"/>
            </w:pPr>
            <w:r>
              <w:t xml:space="preserve">intentionally filing an incomplete, erroneous or misleading Initial Disclosure Form or Annual Disclosure Form; </w:t>
            </w:r>
          </w:p>
          <w:p w14:paraId="73591D6B" w14:textId="6B90212C" w:rsidR="00DF32E1" w:rsidRDefault="00DF32E1" w:rsidP="00DF32E1">
            <w:pPr>
              <w:pStyle w:val="ListParagraph"/>
              <w:numPr>
                <w:ilvl w:val="1"/>
                <w:numId w:val="15"/>
              </w:numPr>
              <w:spacing w:before="120"/>
              <w:ind w:left="357"/>
              <w:contextualSpacing w:val="0"/>
            </w:pPr>
            <w:r>
              <w:t>failure to provide report substantial changes to the information disclosed in an Initial Disclosure Form or an Annual Disclosure Form as required by this Policy;</w:t>
            </w:r>
          </w:p>
          <w:p w14:paraId="3CCA93B9" w14:textId="6C6B5037" w:rsidR="00DF32E1" w:rsidRDefault="00DF32E1" w:rsidP="00DF32E1">
            <w:pPr>
              <w:pStyle w:val="ListParagraph"/>
              <w:numPr>
                <w:ilvl w:val="1"/>
                <w:numId w:val="15"/>
              </w:numPr>
              <w:spacing w:before="120"/>
              <w:ind w:left="357"/>
              <w:contextualSpacing w:val="0"/>
            </w:pPr>
            <w:r>
              <w:t>failure to comply with any of the requirements set out in this Policy;</w:t>
            </w:r>
          </w:p>
          <w:p w14:paraId="4291F1CE" w14:textId="53EFAA50" w:rsidR="00DF32E1" w:rsidRDefault="00DF32E1" w:rsidP="00DF32E1">
            <w:pPr>
              <w:pStyle w:val="ListParagraph"/>
              <w:numPr>
                <w:ilvl w:val="1"/>
                <w:numId w:val="15"/>
              </w:numPr>
              <w:spacing w:before="120"/>
              <w:ind w:left="357"/>
              <w:contextualSpacing w:val="0"/>
            </w:pPr>
            <w:r>
              <w:t>failure to disclose a real or potential conflict of interest as required by this Policy; or</w:t>
            </w:r>
          </w:p>
          <w:p w14:paraId="2630CAB8" w14:textId="3ED86A8C" w:rsidR="00DF32E1" w:rsidRPr="003E1BCD" w:rsidRDefault="00DF32E1" w:rsidP="00DF32E1">
            <w:pPr>
              <w:pStyle w:val="ListParagraph"/>
              <w:numPr>
                <w:ilvl w:val="1"/>
                <w:numId w:val="15"/>
              </w:numPr>
              <w:spacing w:before="120"/>
              <w:ind w:left="357"/>
              <w:contextualSpacing w:val="0"/>
            </w:pPr>
            <w:r>
              <w:t>failure to otherwise comply with this Policy.</w:t>
            </w:r>
          </w:p>
        </w:tc>
      </w:tr>
      <w:tr w:rsidR="008212BA" w:rsidRPr="00014308" w14:paraId="06A2ADD7" w14:textId="77777777" w:rsidTr="00E0725A">
        <w:trPr>
          <w:cantSplit/>
        </w:trPr>
        <w:tc>
          <w:tcPr>
            <w:tcW w:w="2628" w:type="dxa"/>
          </w:tcPr>
          <w:p w14:paraId="13BDA468" w14:textId="71D580CC" w:rsidR="008212BA" w:rsidRDefault="008212BA" w:rsidP="00650202">
            <w:pPr>
              <w:pStyle w:val="ListParagraph"/>
              <w:numPr>
                <w:ilvl w:val="0"/>
                <w:numId w:val="6"/>
              </w:numPr>
              <w:spacing w:before="120"/>
              <w:outlineLvl w:val="2"/>
              <w:rPr>
                <w:b/>
                <w:sz w:val="24"/>
              </w:rPr>
            </w:pPr>
            <w:r w:rsidRPr="008212BA">
              <w:rPr>
                <w:b/>
                <w:sz w:val="24"/>
              </w:rPr>
              <w:t>Consequences of Breach of Policy</w:t>
            </w:r>
          </w:p>
        </w:tc>
        <w:tc>
          <w:tcPr>
            <w:tcW w:w="7344" w:type="dxa"/>
          </w:tcPr>
          <w:p w14:paraId="043F80DD" w14:textId="77777777" w:rsidR="008212BA" w:rsidRDefault="008212BA" w:rsidP="008212BA">
            <w:pPr>
              <w:spacing w:before="120"/>
            </w:pPr>
            <w:r>
              <w:t>Where there has been a failure on the part of a Board Member to comply with the terms of this Policy, unless such failure is the result of bona fide error in judgement by the Board Member as determined by the Board, then the Board may:</w:t>
            </w:r>
          </w:p>
          <w:p w14:paraId="133F4567" w14:textId="196EAC8C" w:rsidR="008212BA" w:rsidRDefault="008212BA" w:rsidP="007309B9">
            <w:pPr>
              <w:pStyle w:val="ListParagraph"/>
              <w:numPr>
                <w:ilvl w:val="1"/>
                <w:numId w:val="16"/>
              </w:numPr>
              <w:spacing w:before="120"/>
              <w:ind w:left="357"/>
              <w:contextualSpacing w:val="0"/>
            </w:pPr>
            <w:r>
              <w:t>issue a verbal reprimand to the Board Member;</w:t>
            </w:r>
          </w:p>
          <w:p w14:paraId="7D562CD9" w14:textId="200958AF" w:rsidR="008212BA" w:rsidRDefault="008212BA" w:rsidP="007309B9">
            <w:pPr>
              <w:pStyle w:val="ListParagraph"/>
              <w:numPr>
                <w:ilvl w:val="1"/>
                <w:numId w:val="16"/>
              </w:numPr>
              <w:spacing w:before="120"/>
              <w:ind w:left="357"/>
              <w:contextualSpacing w:val="0"/>
            </w:pPr>
            <w:r>
              <w:t>issue a written reprimand to the Board Member;</w:t>
            </w:r>
          </w:p>
          <w:p w14:paraId="6E037604" w14:textId="5B6F9B55" w:rsidR="008212BA" w:rsidRDefault="008212BA" w:rsidP="007309B9">
            <w:pPr>
              <w:pStyle w:val="ListParagraph"/>
              <w:numPr>
                <w:ilvl w:val="1"/>
                <w:numId w:val="16"/>
              </w:numPr>
              <w:spacing w:before="120"/>
              <w:ind w:left="357"/>
              <w:contextualSpacing w:val="0"/>
            </w:pPr>
            <w:r>
              <w:t xml:space="preserve">resolve to call a Special General Meeting for the purpose of considering the proposed suspension or expulsion from office of the Board Member in accordance with the DRDP; or </w:t>
            </w:r>
          </w:p>
          <w:p w14:paraId="6D58E6FF" w14:textId="6765266E" w:rsidR="008212BA" w:rsidRDefault="008212BA" w:rsidP="007309B9">
            <w:pPr>
              <w:pStyle w:val="ListParagraph"/>
              <w:numPr>
                <w:ilvl w:val="1"/>
                <w:numId w:val="16"/>
              </w:numPr>
              <w:spacing w:before="120"/>
              <w:ind w:left="357"/>
              <w:contextualSpacing w:val="0"/>
            </w:pPr>
            <w:r>
              <w:t>impose any other sanction as it may determine in its sole discretion.</w:t>
            </w:r>
          </w:p>
        </w:tc>
      </w:tr>
      <w:tr w:rsidR="005C358F" w:rsidRPr="00014308" w14:paraId="34F9EEEC" w14:textId="77777777" w:rsidTr="00E0725A">
        <w:trPr>
          <w:cantSplit/>
        </w:trPr>
        <w:tc>
          <w:tcPr>
            <w:tcW w:w="2628" w:type="dxa"/>
          </w:tcPr>
          <w:p w14:paraId="1BFE789C" w14:textId="77777777" w:rsidR="005C358F" w:rsidRDefault="00E0725A" w:rsidP="00650202">
            <w:pPr>
              <w:pStyle w:val="ListParagraph"/>
              <w:numPr>
                <w:ilvl w:val="0"/>
                <w:numId w:val="6"/>
              </w:numPr>
              <w:spacing w:before="120"/>
              <w:outlineLvl w:val="2"/>
              <w:rPr>
                <w:b/>
                <w:sz w:val="24"/>
              </w:rPr>
            </w:pPr>
            <w:r>
              <w:rPr>
                <w:b/>
                <w:sz w:val="24"/>
              </w:rPr>
              <w:t>References</w:t>
            </w:r>
          </w:p>
        </w:tc>
        <w:tc>
          <w:tcPr>
            <w:tcW w:w="7344" w:type="dxa"/>
          </w:tcPr>
          <w:p w14:paraId="0C65B5BE" w14:textId="72F63617" w:rsidR="005C358F" w:rsidRDefault="00940FA7" w:rsidP="00E0725A">
            <w:pPr>
              <w:spacing w:before="120"/>
            </w:pPr>
            <w:r>
              <w:t>Policy on Privacy</w:t>
            </w:r>
          </w:p>
        </w:tc>
      </w:tr>
    </w:tbl>
    <w:p w14:paraId="734FB6B6" w14:textId="77777777" w:rsidR="003872A6" w:rsidRDefault="003872A6" w:rsidP="00D97C41">
      <w:pPr>
        <w:rPr>
          <w:rFonts w:cstheme="minorHAnsi"/>
          <w:sz w:val="24"/>
        </w:rPr>
      </w:pPr>
    </w:p>
    <w:p w14:paraId="5421624C" w14:textId="74525AD4" w:rsidR="006C2CBC" w:rsidRDefault="006C2CBC">
      <w:pPr>
        <w:rPr>
          <w:rFonts w:cstheme="minorHAnsi"/>
          <w:sz w:val="24"/>
        </w:rPr>
      </w:pPr>
      <w:r>
        <w:rPr>
          <w:rFonts w:cstheme="minorHAnsi"/>
          <w:sz w:val="24"/>
        </w:rPr>
        <w:br w:type="page"/>
      </w:r>
    </w:p>
    <w:p w14:paraId="2232CE8D" w14:textId="77777777" w:rsidR="006C2CBC" w:rsidRPr="00FD4127" w:rsidRDefault="006C2CBC" w:rsidP="00FD4127">
      <w:pPr>
        <w:pStyle w:val="Heading1"/>
        <w:spacing w:line="240" w:lineRule="auto"/>
        <w:jc w:val="center"/>
        <w:rPr>
          <w:rFonts w:asciiTheme="minorHAnsi" w:hAnsiTheme="minorHAnsi" w:cstheme="minorHAnsi"/>
          <w:sz w:val="28"/>
        </w:rPr>
      </w:pPr>
      <w:r w:rsidRPr="00FD4127">
        <w:rPr>
          <w:rFonts w:asciiTheme="minorHAnsi" w:hAnsiTheme="minorHAnsi" w:cstheme="minorHAnsi"/>
          <w:sz w:val="28"/>
        </w:rPr>
        <w:lastRenderedPageBreak/>
        <w:t>Appendix A to the Policy on Conflict of Interest for Board Members</w:t>
      </w:r>
    </w:p>
    <w:p w14:paraId="4A6E5A54" w14:textId="77777777" w:rsidR="00581496" w:rsidRPr="00A5037F" w:rsidRDefault="00581496" w:rsidP="00A5037F">
      <w:pPr>
        <w:pStyle w:val="Heading1"/>
        <w:spacing w:before="0" w:line="240" w:lineRule="auto"/>
        <w:jc w:val="center"/>
        <w:rPr>
          <w:rFonts w:asciiTheme="minorHAnsi" w:hAnsiTheme="minorHAnsi" w:cstheme="minorHAnsi"/>
          <w:b/>
          <w:sz w:val="28"/>
        </w:rPr>
      </w:pPr>
      <w:r w:rsidRPr="00A5037F">
        <w:rPr>
          <w:rFonts w:asciiTheme="minorHAnsi" w:hAnsiTheme="minorHAnsi" w:cstheme="minorHAnsi"/>
          <w:b/>
          <w:sz w:val="28"/>
        </w:rPr>
        <w:t>Policy A</w:t>
      </w:r>
      <w:r w:rsidR="006C2CBC" w:rsidRPr="00A5037F">
        <w:rPr>
          <w:rFonts w:asciiTheme="minorHAnsi" w:hAnsiTheme="minorHAnsi" w:cstheme="minorHAnsi"/>
          <w:b/>
          <w:sz w:val="28"/>
        </w:rPr>
        <w:t>cknowledge</w:t>
      </w:r>
      <w:r w:rsidRPr="00A5037F">
        <w:rPr>
          <w:rFonts w:asciiTheme="minorHAnsi" w:hAnsiTheme="minorHAnsi" w:cstheme="minorHAnsi"/>
          <w:b/>
          <w:sz w:val="28"/>
        </w:rPr>
        <w:t>ment Form</w:t>
      </w:r>
    </w:p>
    <w:p w14:paraId="560BEA05" w14:textId="77777777" w:rsidR="00581496" w:rsidRDefault="00581496" w:rsidP="006C2CBC">
      <w:pPr>
        <w:rPr>
          <w:rFonts w:cstheme="minorHAnsi"/>
          <w:sz w:val="24"/>
        </w:rPr>
      </w:pPr>
    </w:p>
    <w:p w14:paraId="0A17223C" w14:textId="3CD86E4A" w:rsidR="006C2CBC" w:rsidRDefault="006C2CBC" w:rsidP="006C2CBC">
      <w:pPr>
        <w:rPr>
          <w:rFonts w:cstheme="minorHAnsi"/>
          <w:sz w:val="24"/>
        </w:rPr>
      </w:pPr>
      <w:r w:rsidRPr="006C2CBC">
        <w:rPr>
          <w:rFonts w:cstheme="minorHAnsi"/>
          <w:sz w:val="24"/>
        </w:rPr>
        <w:t xml:space="preserve"> </w:t>
      </w:r>
    </w:p>
    <w:p w14:paraId="2BF996FC" w14:textId="77777777" w:rsidR="00A5037F" w:rsidRDefault="00A5037F">
      <w:pPr>
        <w:rPr>
          <w:rFonts w:eastAsiaTheme="majorEastAsia" w:cstheme="minorHAnsi"/>
          <w:color w:val="365F91" w:themeColor="accent1" w:themeShade="BF"/>
          <w:sz w:val="28"/>
          <w:szCs w:val="32"/>
        </w:rPr>
      </w:pPr>
      <w:r>
        <w:rPr>
          <w:rFonts w:cstheme="minorHAnsi"/>
          <w:sz w:val="28"/>
        </w:rPr>
        <w:br w:type="page"/>
      </w:r>
    </w:p>
    <w:p w14:paraId="4FC7766D" w14:textId="559ABAB5" w:rsidR="00581496" w:rsidRPr="00A5037F" w:rsidRDefault="00581496" w:rsidP="00A5037F">
      <w:pPr>
        <w:pStyle w:val="Heading1"/>
        <w:spacing w:line="240" w:lineRule="auto"/>
        <w:jc w:val="center"/>
        <w:rPr>
          <w:rFonts w:asciiTheme="minorHAnsi" w:hAnsiTheme="minorHAnsi" w:cstheme="minorHAnsi"/>
          <w:sz w:val="28"/>
        </w:rPr>
      </w:pPr>
      <w:r w:rsidRPr="00A5037F">
        <w:rPr>
          <w:rFonts w:asciiTheme="minorHAnsi" w:hAnsiTheme="minorHAnsi" w:cstheme="minorHAnsi"/>
          <w:sz w:val="28"/>
        </w:rPr>
        <w:lastRenderedPageBreak/>
        <w:t>Appendix B to the Policy on Conflict of Interest for Board Members</w:t>
      </w:r>
    </w:p>
    <w:p w14:paraId="0FF4209D" w14:textId="04CA3A04" w:rsidR="00581496" w:rsidRPr="00A5037F" w:rsidRDefault="006C2CBC" w:rsidP="00A5037F">
      <w:pPr>
        <w:pStyle w:val="Heading1"/>
        <w:spacing w:before="0" w:line="240" w:lineRule="auto"/>
        <w:jc w:val="center"/>
        <w:rPr>
          <w:rFonts w:asciiTheme="minorHAnsi" w:hAnsiTheme="minorHAnsi" w:cstheme="minorHAnsi"/>
          <w:b/>
          <w:sz w:val="28"/>
        </w:rPr>
      </w:pPr>
      <w:r w:rsidRPr="00A5037F">
        <w:rPr>
          <w:rFonts w:asciiTheme="minorHAnsi" w:hAnsiTheme="minorHAnsi" w:cstheme="minorHAnsi"/>
          <w:b/>
          <w:sz w:val="28"/>
        </w:rPr>
        <w:t xml:space="preserve">Initial </w:t>
      </w:r>
      <w:r w:rsidR="00581496" w:rsidRPr="00A5037F">
        <w:rPr>
          <w:rFonts w:asciiTheme="minorHAnsi" w:hAnsiTheme="minorHAnsi" w:cstheme="minorHAnsi"/>
          <w:b/>
          <w:sz w:val="28"/>
        </w:rPr>
        <w:t>D</w:t>
      </w:r>
      <w:r w:rsidRPr="00A5037F">
        <w:rPr>
          <w:rFonts w:asciiTheme="minorHAnsi" w:hAnsiTheme="minorHAnsi" w:cstheme="minorHAnsi"/>
          <w:b/>
          <w:sz w:val="28"/>
        </w:rPr>
        <w:t>isclosure</w:t>
      </w:r>
      <w:r w:rsidR="00581496" w:rsidRPr="00A5037F">
        <w:rPr>
          <w:rFonts w:asciiTheme="minorHAnsi" w:hAnsiTheme="minorHAnsi" w:cstheme="minorHAnsi"/>
          <w:b/>
          <w:sz w:val="28"/>
        </w:rPr>
        <w:t xml:space="preserve"> Form</w:t>
      </w:r>
    </w:p>
    <w:p w14:paraId="0D623496" w14:textId="2E4FDFFD" w:rsidR="00581496" w:rsidRDefault="00581496" w:rsidP="00581496">
      <w:pPr>
        <w:rPr>
          <w:rFonts w:cstheme="minorHAnsi"/>
          <w:sz w:val="24"/>
        </w:rPr>
      </w:pPr>
    </w:p>
    <w:p w14:paraId="4950C999" w14:textId="77777777" w:rsidR="00E735EE" w:rsidRDefault="00E735EE" w:rsidP="00581496">
      <w:pPr>
        <w:rPr>
          <w:rFonts w:cstheme="minorHAnsi"/>
          <w:sz w:val="24"/>
        </w:rPr>
      </w:pPr>
    </w:p>
    <w:p w14:paraId="7BC87E1B" w14:textId="77777777" w:rsidR="00A5037F" w:rsidRDefault="00A5037F">
      <w:pPr>
        <w:rPr>
          <w:rFonts w:eastAsiaTheme="majorEastAsia" w:cstheme="minorHAnsi"/>
          <w:color w:val="365F91" w:themeColor="accent1" w:themeShade="BF"/>
          <w:sz w:val="28"/>
          <w:szCs w:val="32"/>
        </w:rPr>
      </w:pPr>
      <w:r>
        <w:rPr>
          <w:rFonts w:cstheme="minorHAnsi"/>
          <w:sz w:val="28"/>
        </w:rPr>
        <w:br w:type="page"/>
      </w:r>
    </w:p>
    <w:p w14:paraId="32171142" w14:textId="10F0AA78" w:rsidR="00581496" w:rsidRPr="00A5037F" w:rsidRDefault="00581496" w:rsidP="00A5037F">
      <w:pPr>
        <w:pStyle w:val="Heading1"/>
        <w:spacing w:line="240" w:lineRule="auto"/>
        <w:jc w:val="center"/>
        <w:rPr>
          <w:rFonts w:asciiTheme="minorHAnsi" w:hAnsiTheme="minorHAnsi" w:cstheme="minorHAnsi"/>
          <w:sz w:val="28"/>
        </w:rPr>
      </w:pPr>
      <w:r w:rsidRPr="00A5037F">
        <w:rPr>
          <w:rFonts w:asciiTheme="minorHAnsi" w:hAnsiTheme="minorHAnsi" w:cstheme="minorHAnsi"/>
          <w:sz w:val="28"/>
        </w:rPr>
        <w:lastRenderedPageBreak/>
        <w:t>Appendix C to the Policy on Conflict of Interest for Board Members</w:t>
      </w:r>
    </w:p>
    <w:p w14:paraId="16736CF5" w14:textId="5993CAA5" w:rsidR="003872A6" w:rsidRPr="00A5037F" w:rsidRDefault="006C2CBC" w:rsidP="00A5037F">
      <w:pPr>
        <w:pStyle w:val="Heading1"/>
        <w:spacing w:before="0" w:line="240" w:lineRule="auto"/>
        <w:jc w:val="center"/>
        <w:rPr>
          <w:rFonts w:asciiTheme="minorHAnsi" w:hAnsiTheme="minorHAnsi" w:cstheme="minorHAnsi"/>
          <w:b/>
          <w:sz w:val="28"/>
        </w:rPr>
      </w:pPr>
      <w:r w:rsidRPr="00A5037F">
        <w:rPr>
          <w:rFonts w:asciiTheme="minorHAnsi" w:hAnsiTheme="minorHAnsi" w:cstheme="minorHAnsi"/>
          <w:b/>
          <w:sz w:val="28"/>
        </w:rPr>
        <w:t xml:space="preserve">Annual </w:t>
      </w:r>
      <w:r w:rsidR="00581496" w:rsidRPr="00A5037F">
        <w:rPr>
          <w:rFonts w:asciiTheme="minorHAnsi" w:hAnsiTheme="minorHAnsi" w:cstheme="minorHAnsi"/>
          <w:b/>
          <w:sz w:val="28"/>
        </w:rPr>
        <w:t>D</w:t>
      </w:r>
      <w:r w:rsidRPr="00A5037F">
        <w:rPr>
          <w:rFonts w:asciiTheme="minorHAnsi" w:hAnsiTheme="minorHAnsi" w:cstheme="minorHAnsi"/>
          <w:b/>
          <w:sz w:val="28"/>
        </w:rPr>
        <w:t>isclosure</w:t>
      </w:r>
      <w:r w:rsidR="00581496" w:rsidRPr="00A5037F">
        <w:rPr>
          <w:rFonts w:asciiTheme="minorHAnsi" w:hAnsiTheme="minorHAnsi" w:cstheme="minorHAnsi"/>
          <w:b/>
          <w:sz w:val="28"/>
        </w:rPr>
        <w:t xml:space="preserve"> Form</w:t>
      </w:r>
    </w:p>
    <w:p w14:paraId="15D206A4" w14:textId="77777777" w:rsidR="00E735EE" w:rsidRDefault="00E735EE" w:rsidP="006C2CBC">
      <w:pPr>
        <w:rPr>
          <w:rFonts w:cstheme="minorHAnsi"/>
          <w:sz w:val="24"/>
        </w:rPr>
      </w:pPr>
    </w:p>
    <w:sectPr w:rsidR="00E735EE" w:rsidSect="005C358F">
      <w:headerReference w:type="default" r:id="rId8"/>
      <w:footerReference w:type="default" r:id="rId9"/>
      <w:footerReference w:type="first" r:id="rId10"/>
      <w:pgSz w:w="12240" w:h="15840"/>
      <w:pgMar w:top="1440" w:right="1440" w:bottom="1440" w:left="1440" w:header="708" w:footer="576" w:gutter="0"/>
      <w:pgNumType w:fmt="numberInDash"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88F8EC" w16cid:durableId="1FEC2B14"/>
  <w16cid:commentId w16cid:paraId="13D53199" w16cid:durableId="1FEC2228"/>
  <w16cid:commentId w16cid:paraId="6B98B7A7" w16cid:durableId="1FEC27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D9478" w14:textId="77777777" w:rsidR="0076530D" w:rsidRDefault="0076530D" w:rsidP="001C6CC8">
      <w:pPr>
        <w:spacing w:after="0" w:line="240" w:lineRule="auto"/>
      </w:pPr>
      <w:r>
        <w:separator/>
      </w:r>
    </w:p>
  </w:endnote>
  <w:endnote w:type="continuationSeparator" w:id="0">
    <w:p w14:paraId="3FCC7F60" w14:textId="77777777" w:rsidR="0076530D" w:rsidRDefault="0076530D" w:rsidP="001C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0CDF2" w14:textId="77777777" w:rsidR="009F76B7" w:rsidRPr="009F76B7" w:rsidRDefault="009F76B7">
    <w:pPr>
      <w:pStyle w:val="Footer"/>
      <w:rPr>
        <w:sz w:val="20"/>
      </w:rPr>
    </w:pPr>
    <w:r>
      <w:rPr>
        <w:sz w:val="20"/>
      </w:rPr>
      <w:t>Board Policy Manual</w:t>
    </w:r>
    <w:r>
      <w:rPr>
        <w:sz w:val="20"/>
      </w:rPr>
      <w:tab/>
    </w:r>
    <w:r>
      <w:rPr>
        <w:sz w:val="20"/>
      </w:rPr>
      <w:tab/>
    </w:r>
    <w:r w:rsidRPr="001E5B3B">
      <w:rPr>
        <w:color w:val="7F7F7F" w:themeColor="background1" w:themeShade="7F"/>
        <w:spacing w:val="60"/>
        <w:sz w:val="20"/>
      </w:rPr>
      <w:t>Page</w:t>
    </w:r>
    <w:r w:rsidRPr="001E5B3B">
      <w:rPr>
        <w:sz w:val="20"/>
      </w:rPr>
      <w:t xml:space="preserve"> | </w:t>
    </w:r>
    <w:r w:rsidRPr="001E5B3B">
      <w:rPr>
        <w:sz w:val="20"/>
      </w:rPr>
      <w:fldChar w:fldCharType="begin"/>
    </w:r>
    <w:r w:rsidRPr="001E5B3B">
      <w:rPr>
        <w:sz w:val="20"/>
      </w:rPr>
      <w:instrText xml:space="preserve"> PAGE   \* MERGEFORMAT </w:instrText>
    </w:r>
    <w:r w:rsidRPr="001E5B3B">
      <w:rPr>
        <w:sz w:val="20"/>
      </w:rPr>
      <w:fldChar w:fldCharType="separate"/>
    </w:r>
    <w:r w:rsidR="002E2011" w:rsidRPr="002E2011">
      <w:rPr>
        <w:b/>
        <w:bCs/>
        <w:noProof/>
        <w:sz w:val="20"/>
      </w:rPr>
      <w:t>-</w:t>
    </w:r>
    <w:r w:rsidR="002E2011">
      <w:rPr>
        <w:noProof/>
        <w:sz w:val="20"/>
      </w:rPr>
      <w:t xml:space="preserve"> 8 -</w:t>
    </w:r>
    <w:r w:rsidRPr="001E5B3B">
      <w:rPr>
        <w:b/>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9BE51" w14:textId="77777777" w:rsidR="009F76B7" w:rsidRPr="009F76B7" w:rsidRDefault="009F76B7">
    <w:pPr>
      <w:pStyle w:val="Footer"/>
      <w:rPr>
        <w:sz w:val="20"/>
      </w:rPr>
    </w:pPr>
    <w:r>
      <w:rPr>
        <w:sz w:val="20"/>
      </w:rPr>
      <w:t>Board Policy Manual</w:t>
    </w:r>
    <w:r>
      <w:rPr>
        <w:sz w:val="20"/>
      </w:rPr>
      <w:tab/>
    </w:r>
    <w:r>
      <w:rPr>
        <w:sz w:val="20"/>
      </w:rPr>
      <w:tab/>
    </w:r>
    <w:r w:rsidRPr="001E5B3B">
      <w:rPr>
        <w:color w:val="7F7F7F" w:themeColor="background1" w:themeShade="7F"/>
        <w:spacing w:val="60"/>
        <w:sz w:val="20"/>
      </w:rPr>
      <w:t>Page</w:t>
    </w:r>
    <w:r w:rsidRPr="001E5B3B">
      <w:rPr>
        <w:sz w:val="20"/>
      </w:rPr>
      <w:t xml:space="preserve"> | </w:t>
    </w:r>
    <w:r w:rsidRPr="001E5B3B">
      <w:rPr>
        <w:sz w:val="20"/>
      </w:rPr>
      <w:fldChar w:fldCharType="begin"/>
    </w:r>
    <w:r w:rsidRPr="001E5B3B">
      <w:rPr>
        <w:sz w:val="20"/>
      </w:rPr>
      <w:instrText xml:space="preserve"> PAGE   \* MERGEFORMAT </w:instrText>
    </w:r>
    <w:r w:rsidRPr="001E5B3B">
      <w:rPr>
        <w:sz w:val="20"/>
      </w:rPr>
      <w:fldChar w:fldCharType="separate"/>
    </w:r>
    <w:r w:rsidR="005C358F" w:rsidRPr="005C358F">
      <w:rPr>
        <w:b/>
        <w:bCs/>
        <w:noProof/>
        <w:sz w:val="20"/>
      </w:rPr>
      <w:t>-</w:t>
    </w:r>
    <w:r w:rsidR="005C358F">
      <w:rPr>
        <w:noProof/>
        <w:sz w:val="20"/>
      </w:rPr>
      <w:t xml:space="preserve"> 1 -</w:t>
    </w:r>
    <w:r w:rsidRPr="001E5B3B">
      <w:rPr>
        <w:b/>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DB87E" w14:textId="77777777" w:rsidR="0076530D" w:rsidRDefault="0076530D" w:rsidP="001C6CC8">
      <w:pPr>
        <w:spacing w:after="0" w:line="240" w:lineRule="auto"/>
      </w:pPr>
      <w:r>
        <w:separator/>
      </w:r>
    </w:p>
  </w:footnote>
  <w:footnote w:type="continuationSeparator" w:id="0">
    <w:p w14:paraId="6E42F7BE" w14:textId="77777777" w:rsidR="0076530D" w:rsidRDefault="0076530D" w:rsidP="001C6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DB035" w14:textId="77777777" w:rsidR="009F76B7" w:rsidRDefault="00E84433" w:rsidP="003872A6">
    <w:pPr>
      <w:pStyle w:val="Header"/>
    </w:pPr>
    <w:r>
      <w:rPr>
        <w:noProof/>
        <w:lang w:eastAsia="en-CA"/>
      </w:rPr>
      <w:drawing>
        <wp:inline distT="0" distB="0" distL="0" distR="0" wp14:anchorId="078ED001" wp14:editId="0CCE77C7">
          <wp:extent cx="4152900" cy="7307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242879" cy="746584"/>
                  </a:xfrm>
                  <a:prstGeom prst="rect">
                    <a:avLst/>
                  </a:prstGeom>
                </pic:spPr>
              </pic:pic>
            </a:graphicData>
          </a:graphic>
        </wp:inline>
      </w:drawing>
    </w:r>
  </w:p>
  <w:p w14:paraId="3FBDCBBA" w14:textId="77777777" w:rsidR="003872A6" w:rsidRDefault="00E92973">
    <w:pPr>
      <w:pStyle w:val="Header"/>
    </w:pPr>
    <w:r>
      <w:rPr>
        <w:noProof/>
        <w:color w:val="1155CC"/>
        <w:lang w:eastAsia="en-CA"/>
      </w:rPr>
      <mc:AlternateContent>
        <mc:Choice Requires="wps">
          <w:drawing>
            <wp:anchor distT="0" distB="0" distL="114300" distR="114300" simplePos="0" relativeHeight="251665920" behindDoc="1" locked="0" layoutInCell="0" allowOverlap="1" wp14:anchorId="58A3EA25" wp14:editId="235A76F1">
              <wp:simplePos x="0" y="0"/>
              <wp:positionH relativeFrom="margin">
                <wp:posOffset>505460</wp:posOffset>
              </wp:positionH>
              <wp:positionV relativeFrom="margin">
                <wp:posOffset>2744470</wp:posOffset>
              </wp:positionV>
              <wp:extent cx="5237480" cy="3142615"/>
              <wp:effectExtent l="0" t="1144270" r="0" b="656590"/>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FE5914" w14:textId="77777777" w:rsidR="00E92973" w:rsidRDefault="00E92973" w:rsidP="00E9297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8A3EA25" id="_x0000_t202" coordsize="21600,21600" o:spt="202" path="m,l,21600r21600,l21600,xe">
              <v:stroke joinstyle="miter"/>
              <v:path gradientshapeok="t" o:connecttype="rect"/>
            </v:shapetype>
            <v:shape id="WordArt 3" o:spid="_x0000_s1026" type="#_x0000_t202" style="position:absolute;margin-left:39.8pt;margin-top:216.1pt;width:412.4pt;height:247.45pt;rotation:-45;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jBhg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" o:allowincell="f" filled="f" stroked="f">
              <v:stroke joinstyle="round"/>
              <o:lock v:ext="edit" shapetype="t"/>
              <v:textbox style="mso-fit-shape-to-text:t">
                <w:txbxContent>
                  <w:p w14:paraId="6EFE5914" w14:textId="77777777" w:rsidR="00E92973" w:rsidRDefault="00E92973" w:rsidP="00E9297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03F47"/>
    <w:multiLevelType w:val="hybridMultilevel"/>
    <w:tmpl w:val="8AA42E16"/>
    <w:lvl w:ilvl="0" w:tplc="1009000F">
      <w:start w:val="1"/>
      <w:numFmt w:val="decimal"/>
      <w:lvlText w:val="%1."/>
      <w:lvlJc w:val="left"/>
      <w:pPr>
        <w:ind w:left="720" w:hanging="360"/>
      </w:pPr>
      <w:rPr>
        <w:rFonts w:hint="default"/>
      </w:rPr>
    </w:lvl>
    <w:lvl w:ilvl="1" w:tplc="219E0556">
      <w:start w:val="1"/>
      <w:numFmt w:val="lowerRoman"/>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FF47DAE"/>
    <w:multiLevelType w:val="multilevel"/>
    <w:tmpl w:val="F8F0A7F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7981FFA"/>
    <w:multiLevelType w:val="multilevel"/>
    <w:tmpl w:val="90A0EC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F811375"/>
    <w:multiLevelType w:val="hybridMultilevel"/>
    <w:tmpl w:val="6E308F9E"/>
    <w:lvl w:ilvl="0" w:tplc="867A61B8">
      <w:start w:val="1"/>
      <w:numFmt w:val="lowerLetter"/>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2FA87F58"/>
    <w:multiLevelType w:val="hybridMultilevel"/>
    <w:tmpl w:val="3DEAB2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4D46811"/>
    <w:multiLevelType w:val="multilevel"/>
    <w:tmpl w:val="90A0EC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E255A67"/>
    <w:multiLevelType w:val="hybridMultilevel"/>
    <w:tmpl w:val="B2587F30"/>
    <w:lvl w:ilvl="0" w:tplc="1009000F">
      <w:start w:val="1"/>
      <w:numFmt w:val="decimal"/>
      <w:lvlText w:val="%1."/>
      <w:lvlJc w:val="left"/>
      <w:pPr>
        <w:ind w:left="720" w:hanging="360"/>
      </w:pPr>
      <w:rPr>
        <w:rFonts w:hint="default"/>
      </w:rPr>
    </w:lvl>
    <w:lvl w:ilvl="1" w:tplc="219E0556">
      <w:start w:val="1"/>
      <w:numFmt w:val="lowerRoman"/>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2A6112E"/>
    <w:multiLevelType w:val="hybridMultilevel"/>
    <w:tmpl w:val="B3E87D3C"/>
    <w:lvl w:ilvl="0" w:tplc="83B6407E">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nsid w:val="42CF51CD"/>
    <w:multiLevelType w:val="hybridMultilevel"/>
    <w:tmpl w:val="36B62FA0"/>
    <w:lvl w:ilvl="0" w:tplc="1009000F">
      <w:start w:val="1"/>
      <w:numFmt w:val="decimal"/>
      <w:lvlText w:val="%1."/>
      <w:lvlJc w:val="left"/>
      <w:pPr>
        <w:ind w:left="720" w:hanging="360"/>
      </w:pPr>
      <w:rPr>
        <w:rFonts w:hint="default"/>
      </w:rPr>
    </w:lvl>
    <w:lvl w:ilvl="1" w:tplc="1009000F">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E333A64"/>
    <w:multiLevelType w:val="hybridMultilevel"/>
    <w:tmpl w:val="24F2E02E"/>
    <w:lvl w:ilvl="0" w:tplc="1009000F">
      <w:start w:val="1"/>
      <w:numFmt w:val="decimal"/>
      <w:lvlText w:val="%1."/>
      <w:lvlJc w:val="left"/>
      <w:pPr>
        <w:ind w:left="720" w:hanging="360"/>
      </w:pPr>
      <w:rPr>
        <w:rFonts w:hint="default"/>
      </w:rPr>
    </w:lvl>
    <w:lvl w:ilvl="1" w:tplc="219E0556">
      <w:start w:val="1"/>
      <w:numFmt w:val="lowerRoman"/>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4FFE15F0"/>
    <w:multiLevelType w:val="multilevel"/>
    <w:tmpl w:val="90A0EC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0EB1E72"/>
    <w:multiLevelType w:val="multilevel"/>
    <w:tmpl w:val="90A0EC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8BC613C"/>
    <w:multiLevelType w:val="hybridMultilevel"/>
    <w:tmpl w:val="47F86532"/>
    <w:lvl w:ilvl="0" w:tplc="1009000F">
      <w:start w:val="1"/>
      <w:numFmt w:val="decimal"/>
      <w:lvlText w:val="%1."/>
      <w:lvlJc w:val="left"/>
      <w:pPr>
        <w:ind w:left="360" w:hanging="360"/>
      </w:pPr>
      <w:rPr>
        <w:rFonts w:hint="default"/>
      </w:rPr>
    </w:lvl>
    <w:lvl w:ilvl="1" w:tplc="701C861E">
      <w:start w:val="1"/>
      <w:numFmt w:val="lowerLetter"/>
      <w:lvlText w:val="%2)"/>
      <w:lvlJc w:val="left"/>
      <w:pPr>
        <w:ind w:left="1440" w:hanging="720"/>
      </w:pPr>
      <w:rPr>
        <w:rFonts w:hint="default"/>
      </w:rPr>
    </w:lvl>
    <w:lvl w:ilvl="2" w:tplc="A364A6E0">
      <w:start w:val="1"/>
      <w:numFmt w:val="decimal"/>
      <w:lvlText w:val="(%3)"/>
      <w:lvlJc w:val="left"/>
      <w:pPr>
        <w:ind w:left="1980" w:hanging="360"/>
      </w:pPr>
      <w:rPr>
        <w:rFonts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66615EB8"/>
    <w:multiLevelType w:val="multilevel"/>
    <w:tmpl w:val="90A0EC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F4449C7"/>
    <w:multiLevelType w:val="multilevel"/>
    <w:tmpl w:val="90A0EC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9967B0"/>
    <w:multiLevelType w:val="hybridMultilevel"/>
    <w:tmpl w:val="4F0A93B2"/>
    <w:lvl w:ilvl="0" w:tplc="867A61B8">
      <w:start w:val="1"/>
      <w:numFmt w:val="lowerLetter"/>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0"/>
  </w:num>
  <w:num w:numId="5">
    <w:abstractNumId w:val="6"/>
  </w:num>
  <w:num w:numId="6">
    <w:abstractNumId w:val="12"/>
  </w:num>
  <w:num w:numId="7">
    <w:abstractNumId w:val="7"/>
  </w:num>
  <w:num w:numId="8">
    <w:abstractNumId w:val="3"/>
  </w:num>
  <w:num w:numId="9">
    <w:abstractNumId w:val="15"/>
  </w:num>
  <w:num w:numId="10">
    <w:abstractNumId w:val="10"/>
  </w:num>
  <w:num w:numId="11">
    <w:abstractNumId w:val="5"/>
  </w:num>
  <w:num w:numId="12">
    <w:abstractNumId w:val="11"/>
  </w:num>
  <w:num w:numId="13">
    <w:abstractNumId w:val="2"/>
  </w:num>
  <w:num w:numId="14">
    <w:abstractNumId w:val="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BB"/>
    <w:rsid w:val="000015DA"/>
    <w:rsid w:val="0000510B"/>
    <w:rsid w:val="000134F7"/>
    <w:rsid w:val="00014308"/>
    <w:rsid w:val="00014CD8"/>
    <w:rsid w:val="000167E6"/>
    <w:rsid w:val="00017332"/>
    <w:rsid w:val="00020110"/>
    <w:rsid w:val="00021133"/>
    <w:rsid w:val="00021CBB"/>
    <w:rsid w:val="00025F26"/>
    <w:rsid w:val="00030F75"/>
    <w:rsid w:val="0003726A"/>
    <w:rsid w:val="00037D84"/>
    <w:rsid w:val="000400E3"/>
    <w:rsid w:val="00044B49"/>
    <w:rsid w:val="0004578A"/>
    <w:rsid w:val="000508A8"/>
    <w:rsid w:val="000512D5"/>
    <w:rsid w:val="00052E54"/>
    <w:rsid w:val="00053DAF"/>
    <w:rsid w:val="00054798"/>
    <w:rsid w:val="0005524F"/>
    <w:rsid w:val="00055CB0"/>
    <w:rsid w:val="00056C36"/>
    <w:rsid w:val="00060479"/>
    <w:rsid w:val="0006271F"/>
    <w:rsid w:val="000640A5"/>
    <w:rsid w:val="000641BC"/>
    <w:rsid w:val="00070897"/>
    <w:rsid w:val="00070955"/>
    <w:rsid w:val="0007105B"/>
    <w:rsid w:val="00072C47"/>
    <w:rsid w:val="00073B97"/>
    <w:rsid w:val="0007670F"/>
    <w:rsid w:val="000767FA"/>
    <w:rsid w:val="00080EC9"/>
    <w:rsid w:val="00085A1A"/>
    <w:rsid w:val="00086944"/>
    <w:rsid w:val="00087A4B"/>
    <w:rsid w:val="00090213"/>
    <w:rsid w:val="00095826"/>
    <w:rsid w:val="000A0CC8"/>
    <w:rsid w:val="000A4562"/>
    <w:rsid w:val="000A541A"/>
    <w:rsid w:val="000B1B4A"/>
    <w:rsid w:val="000C0F9F"/>
    <w:rsid w:val="000C7A5E"/>
    <w:rsid w:val="000D0361"/>
    <w:rsid w:val="000E05BD"/>
    <w:rsid w:val="000E173E"/>
    <w:rsid w:val="000E1744"/>
    <w:rsid w:val="000E3DA2"/>
    <w:rsid w:val="000E592F"/>
    <w:rsid w:val="00100C59"/>
    <w:rsid w:val="00103E7A"/>
    <w:rsid w:val="0010419D"/>
    <w:rsid w:val="0010558A"/>
    <w:rsid w:val="00107B1C"/>
    <w:rsid w:val="0011171C"/>
    <w:rsid w:val="00113454"/>
    <w:rsid w:val="00115950"/>
    <w:rsid w:val="00117DEA"/>
    <w:rsid w:val="001205FD"/>
    <w:rsid w:val="00121D36"/>
    <w:rsid w:val="0012320C"/>
    <w:rsid w:val="00123E7F"/>
    <w:rsid w:val="001270EF"/>
    <w:rsid w:val="0013336A"/>
    <w:rsid w:val="001379F8"/>
    <w:rsid w:val="00141EE7"/>
    <w:rsid w:val="00143521"/>
    <w:rsid w:val="00147F5E"/>
    <w:rsid w:val="00154AB5"/>
    <w:rsid w:val="00167C85"/>
    <w:rsid w:val="0017388B"/>
    <w:rsid w:val="00174618"/>
    <w:rsid w:val="00180BE9"/>
    <w:rsid w:val="00184920"/>
    <w:rsid w:val="00187E8F"/>
    <w:rsid w:val="00190E1A"/>
    <w:rsid w:val="00193593"/>
    <w:rsid w:val="00193B5F"/>
    <w:rsid w:val="001B25E1"/>
    <w:rsid w:val="001B7EEF"/>
    <w:rsid w:val="001C6CC8"/>
    <w:rsid w:val="001C7FAF"/>
    <w:rsid w:val="001D0CB5"/>
    <w:rsid w:val="001D1910"/>
    <w:rsid w:val="001D4A2A"/>
    <w:rsid w:val="001D711E"/>
    <w:rsid w:val="001E0A38"/>
    <w:rsid w:val="001E5B3B"/>
    <w:rsid w:val="001E7490"/>
    <w:rsid w:val="001E74F4"/>
    <w:rsid w:val="001E7778"/>
    <w:rsid w:val="001E786B"/>
    <w:rsid w:val="001F28AE"/>
    <w:rsid w:val="001F3294"/>
    <w:rsid w:val="001F5FD4"/>
    <w:rsid w:val="001F6558"/>
    <w:rsid w:val="001F7720"/>
    <w:rsid w:val="001F7C7D"/>
    <w:rsid w:val="0020103D"/>
    <w:rsid w:val="002027EF"/>
    <w:rsid w:val="0020472D"/>
    <w:rsid w:val="00205D29"/>
    <w:rsid w:val="002060AF"/>
    <w:rsid w:val="00206F67"/>
    <w:rsid w:val="00211255"/>
    <w:rsid w:val="0021327F"/>
    <w:rsid w:val="00213F82"/>
    <w:rsid w:val="00221F85"/>
    <w:rsid w:val="00222083"/>
    <w:rsid w:val="00223552"/>
    <w:rsid w:val="00224929"/>
    <w:rsid w:val="0023019C"/>
    <w:rsid w:val="00241C3B"/>
    <w:rsid w:val="00241F41"/>
    <w:rsid w:val="0024406D"/>
    <w:rsid w:val="00245712"/>
    <w:rsid w:val="00251069"/>
    <w:rsid w:val="00252781"/>
    <w:rsid w:val="0025281B"/>
    <w:rsid w:val="00252B05"/>
    <w:rsid w:val="00254A40"/>
    <w:rsid w:val="00254BA8"/>
    <w:rsid w:val="00274689"/>
    <w:rsid w:val="002756EC"/>
    <w:rsid w:val="002828C9"/>
    <w:rsid w:val="002910F7"/>
    <w:rsid w:val="00294B24"/>
    <w:rsid w:val="002A3782"/>
    <w:rsid w:val="002A4BEB"/>
    <w:rsid w:val="002B26D4"/>
    <w:rsid w:val="002B54F6"/>
    <w:rsid w:val="002B5AE6"/>
    <w:rsid w:val="002C2B8D"/>
    <w:rsid w:val="002D1F18"/>
    <w:rsid w:val="002D348C"/>
    <w:rsid w:val="002D49D5"/>
    <w:rsid w:val="002D4BC0"/>
    <w:rsid w:val="002D637D"/>
    <w:rsid w:val="002D7BE5"/>
    <w:rsid w:val="002E027A"/>
    <w:rsid w:val="002E0C33"/>
    <w:rsid w:val="002E2011"/>
    <w:rsid w:val="002E45B2"/>
    <w:rsid w:val="002E7262"/>
    <w:rsid w:val="002F0A89"/>
    <w:rsid w:val="002F33A4"/>
    <w:rsid w:val="002F7D54"/>
    <w:rsid w:val="0030657E"/>
    <w:rsid w:val="0030729C"/>
    <w:rsid w:val="00316AA1"/>
    <w:rsid w:val="003174E1"/>
    <w:rsid w:val="00321578"/>
    <w:rsid w:val="0032640F"/>
    <w:rsid w:val="00326935"/>
    <w:rsid w:val="00330565"/>
    <w:rsid w:val="00332D12"/>
    <w:rsid w:val="00337564"/>
    <w:rsid w:val="003435B7"/>
    <w:rsid w:val="003442A6"/>
    <w:rsid w:val="0035753A"/>
    <w:rsid w:val="003608EE"/>
    <w:rsid w:val="00363487"/>
    <w:rsid w:val="0036474E"/>
    <w:rsid w:val="00364C82"/>
    <w:rsid w:val="00367AE3"/>
    <w:rsid w:val="00372D11"/>
    <w:rsid w:val="0037724E"/>
    <w:rsid w:val="00381A08"/>
    <w:rsid w:val="0038363C"/>
    <w:rsid w:val="00386A17"/>
    <w:rsid w:val="003872A6"/>
    <w:rsid w:val="003906A3"/>
    <w:rsid w:val="00394919"/>
    <w:rsid w:val="0039536E"/>
    <w:rsid w:val="00396AAD"/>
    <w:rsid w:val="003972DC"/>
    <w:rsid w:val="003973FF"/>
    <w:rsid w:val="00397737"/>
    <w:rsid w:val="003A09C5"/>
    <w:rsid w:val="003A4903"/>
    <w:rsid w:val="003A62E3"/>
    <w:rsid w:val="003A7F22"/>
    <w:rsid w:val="003B225C"/>
    <w:rsid w:val="003B5E9A"/>
    <w:rsid w:val="003C013B"/>
    <w:rsid w:val="003C1B55"/>
    <w:rsid w:val="003C2307"/>
    <w:rsid w:val="003C3C1D"/>
    <w:rsid w:val="003C4500"/>
    <w:rsid w:val="003C6948"/>
    <w:rsid w:val="003D57BD"/>
    <w:rsid w:val="003D6690"/>
    <w:rsid w:val="003E1BCD"/>
    <w:rsid w:val="003E5754"/>
    <w:rsid w:val="003E5FA7"/>
    <w:rsid w:val="003E61A0"/>
    <w:rsid w:val="003E77FC"/>
    <w:rsid w:val="003F0459"/>
    <w:rsid w:val="003F3D4B"/>
    <w:rsid w:val="003F6411"/>
    <w:rsid w:val="00411CC8"/>
    <w:rsid w:val="0041481B"/>
    <w:rsid w:val="0042039E"/>
    <w:rsid w:val="00422C97"/>
    <w:rsid w:val="00424A17"/>
    <w:rsid w:val="00426D6C"/>
    <w:rsid w:val="00427F8B"/>
    <w:rsid w:val="00430112"/>
    <w:rsid w:val="0044329F"/>
    <w:rsid w:val="00445505"/>
    <w:rsid w:val="00450499"/>
    <w:rsid w:val="0045453D"/>
    <w:rsid w:val="0045710C"/>
    <w:rsid w:val="004618B7"/>
    <w:rsid w:val="00461992"/>
    <w:rsid w:val="00461F3D"/>
    <w:rsid w:val="00473934"/>
    <w:rsid w:val="00475CCC"/>
    <w:rsid w:val="00482CC9"/>
    <w:rsid w:val="004837F8"/>
    <w:rsid w:val="00491519"/>
    <w:rsid w:val="00493161"/>
    <w:rsid w:val="00496F4C"/>
    <w:rsid w:val="004A09E9"/>
    <w:rsid w:val="004A14AC"/>
    <w:rsid w:val="004A56CA"/>
    <w:rsid w:val="004B076D"/>
    <w:rsid w:val="004B57CF"/>
    <w:rsid w:val="004B70DD"/>
    <w:rsid w:val="004C3E40"/>
    <w:rsid w:val="004C4038"/>
    <w:rsid w:val="004C629C"/>
    <w:rsid w:val="004D1A9E"/>
    <w:rsid w:val="004E6873"/>
    <w:rsid w:val="004E6D63"/>
    <w:rsid w:val="00501F4A"/>
    <w:rsid w:val="00504BDF"/>
    <w:rsid w:val="00506E33"/>
    <w:rsid w:val="005075F1"/>
    <w:rsid w:val="00522042"/>
    <w:rsid w:val="00527E0B"/>
    <w:rsid w:val="005300B2"/>
    <w:rsid w:val="00531364"/>
    <w:rsid w:val="00531628"/>
    <w:rsid w:val="00531AFE"/>
    <w:rsid w:val="005372A7"/>
    <w:rsid w:val="0053799E"/>
    <w:rsid w:val="00537FD0"/>
    <w:rsid w:val="005410CF"/>
    <w:rsid w:val="00542D8F"/>
    <w:rsid w:val="00545BAC"/>
    <w:rsid w:val="005461CE"/>
    <w:rsid w:val="00546AAC"/>
    <w:rsid w:val="00551202"/>
    <w:rsid w:val="005564E9"/>
    <w:rsid w:val="00561B03"/>
    <w:rsid w:val="0057041A"/>
    <w:rsid w:val="005744ED"/>
    <w:rsid w:val="00577853"/>
    <w:rsid w:val="00581496"/>
    <w:rsid w:val="005818A4"/>
    <w:rsid w:val="00584FDA"/>
    <w:rsid w:val="0059059F"/>
    <w:rsid w:val="00590EA0"/>
    <w:rsid w:val="00593D66"/>
    <w:rsid w:val="005A42AA"/>
    <w:rsid w:val="005A63C9"/>
    <w:rsid w:val="005B038A"/>
    <w:rsid w:val="005B1065"/>
    <w:rsid w:val="005B24E0"/>
    <w:rsid w:val="005B5AB7"/>
    <w:rsid w:val="005B6384"/>
    <w:rsid w:val="005C128F"/>
    <w:rsid w:val="005C358F"/>
    <w:rsid w:val="005C4A22"/>
    <w:rsid w:val="005C6012"/>
    <w:rsid w:val="005C702E"/>
    <w:rsid w:val="005C7AE4"/>
    <w:rsid w:val="005F0D9C"/>
    <w:rsid w:val="005F6241"/>
    <w:rsid w:val="005F63E4"/>
    <w:rsid w:val="0060236F"/>
    <w:rsid w:val="00611CC4"/>
    <w:rsid w:val="006129AE"/>
    <w:rsid w:val="00615A13"/>
    <w:rsid w:val="00616181"/>
    <w:rsid w:val="0061786C"/>
    <w:rsid w:val="006179B5"/>
    <w:rsid w:val="006207CB"/>
    <w:rsid w:val="006250D6"/>
    <w:rsid w:val="00625561"/>
    <w:rsid w:val="006255FD"/>
    <w:rsid w:val="00630258"/>
    <w:rsid w:val="0063327A"/>
    <w:rsid w:val="00636715"/>
    <w:rsid w:val="00645D1E"/>
    <w:rsid w:val="00650202"/>
    <w:rsid w:val="006556A7"/>
    <w:rsid w:val="00656DDD"/>
    <w:rsid w:val="00660428"/>
    <w:rsid w:val="00665877"/>
    <w:rsid w:val="00673CCF"/>
    <w:rsid w:val="006744A0"/>
    <w:rsid w:val="00680C0A"/>
    <w:rsid w:val="00682CCE"/>
    <w:rsid w:val="00685B00"/>
    <w:rsid w:val="00692A3D"/>
    <w:rsid w:val="006A1964"/>
    <w:rsid w:val="006C0063"/>
    <w:rsid w:val="006C2664"/>
    <w:rsid w:val="006C2CBC"/>
    <w:rsid w:val="006D2E93"/>
    <w:rsid w:val="006D34F2"/>
    <w:rsid w:val="006D7977"/>
    <w:rsid w:val="006E1554"/>
    <w:rsid w:val="006E163C"/>
    <w:rsid w:val="006E255F"/>
    <w:rsid w:val="006E2919"/>
    <w:rsid w:val="006E3760"/>
    <w:rsid w:val="006E645F"/>
    <w:rsid w:val="006F150F"/>
    <w:rsid w:val="006F3F86"/>
    <w:rsid w:val="006F4616"/>
    <w:rsid w:val="006F6199"/>
    <w:rsid w:val="006F74D6"/>
    <w:rsid w:val="00701FF6"/>
    <w:rsid w:val="00702586"/>
    <w:rsid w:val="00711830"/>
    <w:rsid w:val="00714891"/>
    <w:rsid w:val="00717C29"/>
    <w:rsid w:val="00722A6D"/>
    <w:rsid w:val="007235C5"/>
    <w:rsid w:val="0073089C"/>
    <w:rsid w:val="007309B9"/>
    <w:rsid w:val="0073112C"/>
    <w:rsid w:val="00743C1F"/>
    <w:rsid w:val="007509BF"/>
    <w:rsid w:val="00756288"/>
    <w:rsid w:val="0075741B"/>
    <w:rsid w:val="0076066E"/>
    <w:rsid w:val="007619DB"/>
    <w:rsid w:val="007651F3"/>
    <w:rsid w:val="0076530D"/>
    <w:rsid w:val="007673F4"/>
    <w:rsid w:val="00771AB3"/>
    <w:rsid w:val="00775107"/>
    <w:rsid w:val="007754C0"/>
    <w:rsid w:val="00776B2F"/>
    <w:rsid w:val="00776EBF"/>
    <w:rsid w:val="007779DC"/>
    <w:rsid w:val="00780840"/>
    <w:rsid w:val="00780AD9"/>
    <w:rsid w:val="00781FEF"/>
    <w:rsid w:val="007856B3"/>
    <w:rsid w:val="00791060"/>
    <w:rsid w:val="0079393C"/>
    <w:rsid w:val="00795F2E"/>
    <w:rsid w:val="00796DD4"/>
    <w:rsid w:val="007A0164"/>
    <w:rsid w:val="007A1BBF"/>
    <w:rsid w:val="007A1E9A"/>
    <w:rsid w:val="007A5218"/>
    <w:rsid w:val="007A6A13"/>
    <w:rsid w:val="007A7A7E"/>
    <w:rsid w:val="007B1529"/>
    <w:rsid w:val="007B2171"/>
    <w:rsid w:val="007B6171"/>
    <w:rsid w:val="007B651C"/>
    <w:rsid w:val="007C2B64"/>
    <w:rsid w:val="007C3781"/>
    <w:rsid w:val="007C654F"/>
    <w:rsid w:val="007C710D"/>
    <w:rsid w:val="007D08FE"/>
    <w:rsid w:val="007D0B27"/>
    <w:rsid w:val="007D0DA0"/>
    <w:rsid w:val="007D2D7F"/>
    <w:rsid w:val="007D4B77"/>
    <w:rsid w:val="007D77A9"/>
    <w:rsid w:val="007D77F4"/>
    <w:rsid w:val="007E4851"/>
    <w:rsid w:val="007E4FB8"/>
    <w:rsid w:val="007E7667"/>
    <w:rsid w:val="007F2773"/>
    <w:rsid w:val="007F29AB"/>
    <w:rsid w:val="00801332"/>
    <w:rsid w:val="00802032"/>
    <w:rsid w:val="00802904"/>
    <w:rsid w:val="008054A6"/>
    <w:rsid w:val="00805A8E"/>
    <w:rsid w:val="0080700E"/>
    <w:rsid w:val="00807F80"/>
    <w:rsid w:val="008212BA"/>
    <w:rsid w:val="00823CF1"/>
    <w:rsid w:val="00834FC5"/>
    <w:rsid w:val="0083605F"/>
    <w:rsid w:val="00837EB1"/>
    <w:rsid w:val="008407C7"/>
    <w:rsid w:val="00844F1E"/>
    <w:rsid w:val="00846821"/>
    <w:rsid w:val="0085238E"/>
    <w:rsid w:val="0085774A"/>
    <w:rsid w:val="00863958"/>
    <w:rsid w:val="00864F6B"/>
    <w:rsid w:val="008666BE"/>
    <w:rsid w:val="00866BFD"/>
    <w:rsid w:val="008722B0"/>
    <w:rsid w:val="00873C9F"/>
    <w:rsid w:val="00876EF9"/>
    <w:rsid w:val="008771BE"/>
    <w:rsid w:val="00884D16"/>
    <w:rsid w:val="0089412F"/>
    <w:rsid w:val="008A0D65"/>
    <w:rsid w:val="008A1C36"/>
    <w:rsid w:val="008B37A0"/>
    <w:rsid w:val="008B6F63"/>
    <w:rsid w:val="008C4680"/>
    <w:rsid w:val="008C5ABE"/>
    <w:rsid w:val="008C5AEE"/>
    <w:rsid w:val="008D6773"/>
    <w:rsid w:val="008E2D0F"/>
    <w:rsid w:val="008E3179"/>
    <w:rsid w:val="008E3E8C"/>
    <w:rsid w:val="008E6298"/>
    <w:rsid w:val="008E7635"/>
    <w:rsid w:val="009017C9"/>
    <w:rsid w:val="00902D65"/>
    <w:rsid w:val="00902DE5"/>
    <w:rsid w:val="00903D30"/>
    <w:rsid w:val="00903F30"/>
    <w:rsid w:val="0091196B"/>
    <w:rsid w:val="00914528"/>
    <w:rsid w:val="0091489D"/>
    <w:rsid w:val="0092032B"/>
    <w:rsid w:val="009213DB"/>
    <w:rsid w:val="00922AAD"/>
    <w:rsid w:val="00927378"/>
    <w:rsid w:val="00933339"/>
    <w:rsid w:val="00933E81"/>
    <w:rsid w:val="00940FA7"/>
    <w:rsid w:val="00943CAD"/>
    <w:rsid w:val="00956FB5"/>
    <w:rsid w:val="009601E9"/>
    <w:rsid w:val="0096052B"/>
    <w:rsid w:val="00960C6F"/>
    <w:rsid w:val="00964F5E"/>
    <w:rsid w:val="00972026"/>
    <w:rsid w:val="009735AC"/>
    <w:rsid w:val="00974FA8"/>
    <w:rsid w:val="009753CF"/>
    <w:rsid w:val="0098498E"/>
    <w:rsid w:val="00985C02"/>
    <w:rsid w:val="009A0A34"/>
    <w:rsid w:val="009B00B8"/>
    <w:rsid w:val="009B2421"/>
    <w:rsid w:val="009B384A"/>
    <w:rsid w:val="009C0785"/>
    <w:rsid w:val="009C2C88"/>
    <w:rsid w:val="009C4757"/>
    <w:rsid w:val="009C6AB7"/>
    <w:rsid w:val="009D033E"/>
    <w:rsid w:val="009D0DA5"/>
    <w:rsid w:val="009D1911"/>
    <w:rsid w:val="009D24EA"/>
    <w:rsid w:val="009D3F5A"/>
    <w:rsid w:val="009D77A3"/>
    <w:rsid w:val="009E1117"/>
    <w:rsid w:val="009E19BD"/>
    <w:rsid w:val="009E1F46"/>
    <w:rsid w:val="009E2BF1"/>
    <w:rsid w:val="009E2CFA"/>
    <w:rsid w:val="009E7A67"/>
    <w:rsid w:val="009F1971"/>
    <w:rsid w:val="009F6416"/>
    <w:rsid w:val="009F76B7"/>
    <w:rsid w:val="009F7C22"/>
    <w:rsid w:val="00A10D8D"/>
    <w:rsid w:val="00A11576"/>
    <w:rsid w:val="00A11792"/>
    <w:rsid w:val="00A1387C"/>
    <w:rsid w:val="00A150B1"/>
    <w:rsid w:val="00A22248"/>
    <w:rsid w:val="00A2360A"/>
    <w:rsid w:val="00A24893"/>
    <w:rsid w:val="00A252DE"/>
    <w:rsid w:val="00A2618C"/>
    <w:rsid w:val="00A32F20"/>
    <w:rsid w:val="00A33857"/>
    <w:rsid w:val="00A368D1"/>
    <w:rsid w:val="00A421B8"/>
    <w:rsid w:val="00A44A9E"/>
    <w:rsid w:val="00A5037F"/>
    <w:rsid w:val="00A5203F"/>
    <w:rsid w:val="00A539B0"/>
    <w:rsid w:val="00A545A5"/>
    <w:rsid w:val="00A55F1A"/>
    <w:rsid w:val="00A57D1C"/>
    <w:rsid w:val="00A60998"/>
    <w:rsid w:val="00A6159F"/>
    <w:rsid w:val="00A619A6"/>
    <w:rsid w:val="00A626BB"/>
    <w:rsid w:val="00A63CA2"/>
    <w:rsid w:val="00A6424E"/>
    <w:rsid w:val="00A65615"/>
    <w:rsid w:val="00A65C24"/>
    <w:rsid w:val="00A66FE2"/>
    <w:rsid w:val="00A6745C"/>
    <w:rsid w:val="00A7308C"/>
    <w:rsid w:val="00A76F2B"/>
    <w:rsid w:val="00A84191"/>
    <w:rsid w:val="00A85882"/>
    <w:rsid w:val="00A87E4C"/>
    <w:rsid w:val="00A90FB1"/>
    <w:rsid w:val="00A97DBB"/>
    <w:rsid w:val="00AA19A9"/>
    <w:rsid w:val="00AA3B0C"/>
    <w:rsid w:val="00AA452F"/>
    <w:rsid w:val="00AA486E"/>
    <w:rsid w:val="00AA6E46"/>
    <w:rsid w:val="00AA71F1"/>
    <w:rsid w:val="00AB366D"/>
    <w:rsid w:val="00AB7D2A"/>
    <w:rsid w:val="00AD0E44"/>
    <w:rsid w:val="00AD3C2B"/>
    <w:rsid w:val="00AD3F7E"/>
    <w:rsid w:val="00AD4D7E"/>
    <w:rsid w:val="00AE2001"/>
    <w:rsid w:val="00AE730C"/>
    <w:rsid w:val="00AF0D5F"/>
    <w:rsid w:val="00AF1701"/>
    <w:rsid w:val="00AF3242"/>
    <w:rsid w:val="00AF3E9D"/>
    <w:rsid w:val="00AF44DE"/>
    <w:rsid w:val="00AF455F"/>
    <w:rsid w:val="00AF5925"/>
    <w:rsid w:val="00AF5E04"/>
    <w:rsid w:val="00AF7E29"/>
    <w:rsid w:val="00B00249"/>
    <w:rsid w:val="00B12DF5"/>
    <w:rsid w:val="00B130E6"/>
    <w:rsid w:val="00B16C33"/>
    <w:rsid w:val="00B265C2"/>
    <w:rsid w:val="00B30212"/>
    <w:rsid w:val="00B4418C"/>
    <w:rsid w:val="00B52966"/>
    <w:rsid w:val="00B52A9E"/>
    <w:rsid w:val="00B65761"/>
    <w:rsid w:val="00B66121"/>
    <w:rsid w:val="00B70B03"/>
    <w:rsid w:val="00B728B7"/>
    <w:rsid w:val="00B72F18"/>
    <w:rsid w:val="00B747D5"/>
    <w:rsid w:val="00B74F3B"/>
    <w:rsid w:val="00B77C7B"/>
    <w:rsid w:val="00B8045A"/>
    <w:rsid w:val="00B82FB7"/>
    <w:rsid w:val="00B830B7"/>
    <w:rsid w:val="00B83530"/>
    <w:rsid w:val="00B85F44"/>
    <w:rsid w:val="00B85F7D"/>
    <w:rsid w:val="00B9003D"/>
    <w:rsid w:val="00B92FA1"/>
    <w:rsid w:val="00B948A0"/>
    <w:rsid w:val="00BA2617"/>
    <w:rsid w:val="00BA3A4D"/>
    <w:rsid w:val="00BA486B"/>
    <w:rsid w:val="00BA5C26"/>
    <w:rsid w:val="00BB29ED"/>
    <w:rsid w:val="00BB7477"/>
    <w:rsid w:val="00BB7C07"/>
    <w:rsid w:val="00BC13ED"/>
    <w:rsid w:val="00BC54F5"/>
    <w:rsid w:val="00BC7051"/>
    <w:rsid w:val="00BD5CE9"/>
    <w:rsid w:val="00BE2F5B"/>
    <w:rsid w:val="00BE5B7C"/>
    <w:rsid w:val="00BE5C71"/>
    <w:rsid w:val="00BF466A"/>
    <w:rsid w:val="00BF77B5"/>
    <w:rsid w:val="00C01237"/>
    <w:rsid w:val="00C11E09"/>
    <w:rsid w:val="00C12E9A"/>
    <w:rsid w:val="00C144E1"/>
    <w:rsid w:val="00C1526D"/>
    <w:rsid w:val="00C16936"/>
    <w:rsid w:val="00C22595"/>
    <w:rsid w:val="00C233A3"/>
    <w:rsid w:val="00C24118"/>
    <w:rsid w:val="00C24B72"/>
    <w:rsid w:val="00C303D2"/>
    <w:rsid w:val="00C30ACC"/>
    <w:rsid w:val="00C312BB"/>
    <w:rsid w:val="00C33B6E"/>
    <w:rsid w:val="00C34C4C"/>
    <w:rsid w:val="00C34EB6"/>
    <w:rsid w:val="00C35087"/>
    <w:rsid w:val="00C4029B"/>
    <w:rsid w:val="00C41F8E"/>
    <w:rsid w:val="00C45502"/>
    <w:rsid w:val="00C51976"/>
    <w:rsid w:val="00C52976"/>
    <w:rsid w:val="00C52A13"/>
    <w:rsid w:val="00C552F5"/>
    <w:rsid w:val="00C57802"/>
    <w:rsid w:val="00C61838"/>
    <w:rsid w:val="00C62783"/>
    <w:rsid w:val="00C633B4"/>
    <w:rsid w:val="00C63CDF"/>
    <w:rsid w:val="00C7422E"/>
    <w:rsid w:val="00C84740"/>
    <w:rsid w:val="00C85060"/>
    <w:rsid w:val="00C86B5D"/>
    <w:rsid w:val="00C86DCD"/>
    <w:rsid w:val="00C9130A"/>
    <w:rsid w:val="00C946A4"/>
    <w:rsid w:val="00C95A1A"/>
    <w:rsid w:val="00CA1EE2"/>
    <w:rsid w:val="00CA2261"/>
    <w:rsid w:val="00CA3679"/>
    <w:rsid w:val="00CA546E"/>
    <w:rsid w:val="00CA6CD7"/>
    <w:rsid w:val="00CC7AFC"/>
    <w:rsid w:val="00CC7BE5"/>
    <w:rsid w:val="00CD185B"/>
    <w:rsid w:val="00CD20DC"/>
    <w:rsid w:val="00CD30C7"/>
    <w:rsid w:val="00CD6F0C"/>
    <w:rsid w:val="00CD7787"/>
    <w:rsid w:val="00CD7A39"/>
    <w:rsid w:val="00CE7935"/>
    <w:rsid w:val="00CF1191"/>
    <w:rsid w:val="00CF1B2F"/>
    <w:rsid w:val="00D001A7"/>
    <w:rsid w:val="00D01A3F"/>
    <w:rsid w:val="00D137C9"/>
    <w:rsid w:val="00D1384F"/>
    <w:rsid w:val="00D24817"/>
    <w:rsid w:val="00D343CA"/>
    <w:rsid w:val="00D347B9"/>
    <w:rsid w:val="00D34AE9"/>
    <w:rsid w:val="00D3625F"/>
    <w:rsid w:val="00D45FFF"/>
    <w:rsid w:val="00D557E7"/>
    <w:rsid w:val="00D55931"/>
    <w:rsid w:val="00D618C6"/>
    <w:rsid w:val="00D62337"/>
    <w:rsid w:val="00D62472"/>
    <w:rsid w:val="00D65BC5"/>
    <w:rsid w:val="00D7312E"/>
    <w:rsid w:val="00D81291"/>
    <w:rsid w:val="00D81914"/>
    <w:rsid w:val="00D8396F"/>
    <w:rsid w:val="00D854C7"/>
    <w:rsid w:val="00D85699"/>
    <w:rsid w:val="00D85E83"/>
    <w:rsid w:val="00D8743F"/>
    <w:rsid w:val="00D91F37"/>
    <w:rsid w:val="00D936C5"/>
    <w:rsid w:val="00D9384C"/>
    <w:rsid w:val="00D93E19"/>
    <w:rsid w:val="00D9411C"/>
    <w:rsid w:val="00D97C41"/>
    <w:rsid w:val="00D97CF7"/>
    <w:rsid w:val="00DA0A80"/>
    <w:rsid w:val="00DA519E"/>
    <w:rsid w:val="00DB170E"/>
    <w:rsid w:val="00DB3D6B"/>
    <w:rsid w:val="00DB3F0A"/>
    <w:rsid w:val="00DB693D"/>
    <w:rsid w:val="00DC05E7"/>
    <w:rsid w:val="00DC079B"/>
    <w:rsid w:val="00DD04A2"/>
    <w:rsid w:val="00DD673A"/>
    <w:rsid w:val="00DE2BBC"/>
    <w:rsid w:val="00DE2FC1"/>
    <w:rsid w:val="00DE3C57"/>
    <w:rsid w:val="00DE4D05"/>
    <w:rsid w:val="00DF32E1"/>
    <w:rsid w:val="00E0725A"/>
    <w:rsid w:val="00E14F0F"/>
    <w:rsid w:val="00E15F4C"/>
    <w:rsid w:val="00E22778"/>
    <w:rsid w:val="00E23CBA"/>
    <w:rsid w:val="00E41CAF"/>
    <w:rsid w:val="00E521CC"/>
    <w:rsid w:val="00E579F5"/>
    <w:rsid w:val="00E607E7"/>
    <w:rsid w:val="00E67532"/>
    <w:rsid w:val="00E675D7"/>
    <w:rsid w:val="00E706AB"/>
    <w:rsid w:val="00E71A5A"/>
    <w:rsid w:val="00E735EE"/>
    <w:rsid w:val="00E75164"/>
    <w:rsid w:val="00E76333"/>
    <w:rsid w:val="00E768B3"/>
    <w:rsid w:val="00E82AEE"/>
    <w:rsid w:val="00E84433"/>
    <w:rsid w:val="00E84D8D"/>
    <w:rsid w:val="00E85743"/>
    <w:rsid w:val="00E85ED8"/>
    <w:rsid w:val="00E8649F"/>
    <w:rsid w:val="00E87BEA"/>
    <w:rsid w:val="00E90781"/>
    <w:rsid w:val="00E92973"/>
    <w:rsid w:val="00E95258"/>
    <w:rsid w:val="00EA6300"/>
    <w:rsid w:val="00EA680E"/>
    <w:rsid w:val="00EA6E4E"/>
    <w:rsid w:val="00EB067F"/>
    <w:rsid w:val="00EB2674"/>
    <w:rsid w:val="00EB6715"/>
    <w:rsid w:val="00EB6AFD"/>
    <w:rsid w:val="00EC5691"/>
    <w:rsid w:val="00ED4398"/>
    <w:rsid w:val="00ED59A1"/>
    <w:rsid w:val="00ED63D6"/>
    <w:rsid w:val="00EE2394"/>
    <w:rsid w:val="00EE5222"/>
    <w:rsid w:val="00EE619C"/>
    <w:rsid w:val="00EF2F72"/>
    <w:rsid w:val="00EF549D"/>
    <w:rsid w:val="00EF6D9B"/>
    <w:rsid w:val="00F01E22"/>
    <w:rsid w:val="00F036EF"/>
    <w:rsid w:val="00F043FC"/>
    <w:rsid w:val="00F05BFF"/>
    <w:rsid w:val="00F0684C"/>
    <w:rsid w:val="00F1008F"/>
    <w:rsid w:val="00F144EB"/>
    <w:rsid w:val="00F16F39"/>
    <w:rsid w:val="00F1763E"/>
    <w:rsid w:val="00F20072"/>
    <w:rsid w:val="00F20280"/>
    <w:rsid w:val="00F20871"/>
    <w:rsid w:val="00F218B1"/>
    <w:rsid w:val="00F23448"/>
    <w:rsid w:val="00F24D6E"/>
    <w:rsid w:val="00F26E39"/>
    <w:rsid w:val="00F30953"/>
    <w:rsid w:val="00F30F94"/>
    <w:rsid w:val="00F456A1"/>
    <w:rsid w:val="00F50D9E"/>
    <w:rsid w:val="00F5226D"/>
    <w:rsid w:val="00F55E5B"/>
    <w:rsid w:val="00F60081"/>
    <w:rsid w:val="00F636DC"/>
    <w:rsid w:val="00F63C95"/>
    <w:rsid w:val="00F67722"/>
    <w:rsid w:val="00F7287A"/>
    <w:rsid w:val="00F7429D"/>
    <w:rsid w:val="00F74845"/>
    <w:rsid w:val="00F75E7A"/>
    <w:rsid w:val="00F82950"/>
    <w:rsid w:val="00F83E2A"/>
    <w:rsid w:val="00F84E07"/>
    <w:rsid w:val="00F93541"/>
    <w:rsid w:val="00FA02B4"/>
    <w:rsid w:val="00FA0E95"/>
    <w:rsid w:val="00FA19B4"/>
    <w:rsid w:val="00FA1C1B"/>
    <w:rsid w:val="00FA325A"/>
    <w:rsid w:val="00FA370E"/>
    <w:rsid w:val="00FA4239"/>
    <w:rsid w:val="00FA493A"/>
    <w:rsid w:val="00FA5CEC"/>
    <w:rsid w:val="00FA62FD"/>
    <w:rsid w:val="00FA723E"/>
    <w:rsid w:val="00FB00E7"/>
    <w:rsid w:val="00FB157F"/>
    <w:rsid w:val="00FB1C60"/>
    <w:rsid w:val="00FB1F72"/>
    <w:rsid w:val="00FB49CC"/>
    <w:rsid w:val="00FB4E76"/>
    <w:rsid w:val="00FB713B"/>
    <w:rsid w:val="00FB794B"/>
    <w:rsid w:val="00FC1AD4"/>
    <w:rsid w:val="00FC2EC9"/>
    <w:rsid w:val="00FC452B"/>
    <w:rsid w:val="00FC67ED"/>
    <w:rsid w:val="00FD02CF"/>
    <w:rsid w:val="00FD26CD"/>
    <w:rsid w:val="00FD2ED4"/>
    <w:rsid w:val="00FD4127"/>
    <w:rsid w:val="00FD5299"/>
    <w:rsid w:val="00FE4A02"/>
    <w:rsid w:val="00FE57C4"/>
    <w:rsid w:val="00FE72D9"/>
    <w:rsid w:val="00FF1B4A"/>
    <w:rsid w:val="00FF456E"/>
    <w:rsid w:val="00FF66DE"/>
    <w:rsid w:val="00FF7478"/>
    <w:rsid w:val="00FF7D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A0850C"/>
  <w15:docId w15:val="{7A96223C-1B36-45B3-A1A1-339F4E2F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ajorBidi"/>
        <w:sz w:val="22"/>
        <w:szCs w:val="24"/>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6B7"/>
    <w:rPr>
      <w:rFonts w:asciiTheme="minorHAnsi" w:hAnsiTheme="minorHAnsi"/>
    </w:rPr>
  </w:style>
  <w:style w:type="paragraph" w:styleId="Heading1">
    <w:name w:val="heading 1"/>
    <w:basedOn w:val="Normal"/>
    <w:next w:val="Normal"/>
    <w:link w:val="Heading1Char"/>
    <w:uiPriority w:val="9"/>
    <w:qFormat/>
    <w:rsid w:val="00FD4127"/>
    <w:pPr>
      <w:keepNext/>
      <w:keepLines/>
      <w:spacing w:before="240" w:after="0"/>
      <w:outlineLvl w:val="0"/>
    </w:pPr>
    <w:rPr>
      <w:rFonts w:asciiTheme="majorHAnsi" w:eastAsiaTheme="majorEastAsia" w:hAnsiTheme="majorHAns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DBB"/>
    <w:rPr>
      <w:rFonts w:ascii="Tahoma" w:hAnsi="Tahoma" w:cs="Tahoma"/>
      <w:sz w:val="16"/>
      <w:szCs w:val="16"/>
    </w:rPr>
  </w:style>
  <w:style w:type="paragraph" w:styleId="Header">
    <w:name w:val="header"/>
    <w:basedOn w:val="Normal"/>
    <w:link w:val="HeaderChar"/>
    <w:uiPriority w:val="99"/>
    <w:unhideWhenUsed/>
    <w:rsid w:val="001C6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CC8"/>
  </w:style>
  <w:style w:type="paragraph" w:styleId="Footer">
    <w:name w:val="footer"/>
    <w:basedOn w:val="Normal"/>
    <w:link w:val="FooterChar"/>
    <w:uiPriority w:val="99"/>
    <w:unhideWhenUsed/>
    <w:rsid w:val="001C6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CC8"/>
  </w:style>
  <w:style w:type="paragraph" w:styleId="ListParagraph">
    <w:name w:val="List Paragraph"/>
    <w:basedOn w:val="Normal"/>
    <w:uiPriority w:val="34"/>
    <w:qFormat/>
    <w:rsid w:val="005A42AA"/>
    <w:pPr>
      <w:ind w:left="720"/>
      <w:contextualSpacing/>
    </w:pPr>
  </w:style>
  <w:style w:type="table" w:styleId="TableGrid">
    <w:name w:val="Table Grid"/>
    <w:basedOn w:val="TableNormal"/>
    <w:uiPriority w:val="59"/>
    <w:rsid w:val="000143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F76B7"/>
    <w:rPr>
      <w:b/>
      <w:bCs/>
    </w:rPr>
  </w:style>
  <w:style w:type="paragraph" w:styleId="TOC1">
    <w:name w:val="toc 1"/>
    <w:basedOn w:val="Normal"/>
    <w:next w:val="Normal"/>
    <w:autoRedefine/>
    <w:uiPriority w:val="39"/>
    <w:unhideWhenUsed/>
    <w:rsid w:val="009F76B7"/>
    <w:pPr>
      <w:spacing w:after="100"/>
    </w:pPr>
  </w:style>
  <w:style w:type="paragraph" w:styleId="TOC2">
    <w:name w:val="toc 2"/>
    <w:basedOn w:val="Normal"/>
    <w:next w:val="Normal"/>
    <w:autoRedefine/>
    <w:uiPriority w:val="39"/>
    <w:unhideWhenUsed/>
    <w:rsid w:val="009F76B7"/>
    <w:pPr>
      <w:spacing w:after="100"/>
      <w:ind w:left="220"/>
    </w:pPr>
  </w:style>
  <w:style w:type="character" w:styleId="Hyperlink">
    <w:name w:val="Hyperlink"/>
    <w:basedOn w:val="DefaultParagraphFont"/>
    <w:uiPriority w:val="99"/>
    <w:unhideWhenUsed/>
    <w:rsid w:val="009F76B7"/>
    <w:rPr>
      <w:color w:val="0000FF" w:themeColor="hyperlink"/>
      <w:u w:val="single"/>
    </w:rPr>
  </w:style>
  <w:style w:type="paragraph" w:styleId="NormalWeb">
    <w:name w:val="Normal (Web)"/>
    <w:basedOn w:val="Normal"/>
    <w:uiPriority w:val="99"/>
    <w:semiHidden/>
    <w:unhideWhenUsed/>
    <w:rsid w:val="00E92973"/>
    <w:pPr>
      <w:spacing w:before="100" w:beforeAutospacing="1" w:after="100" w:afterAutospacing="1" w:line="240" w:lineRule="auto"/>
    </w:pPr>
    <w:rPr>
      <w:rFonts w:ascii="Times New Roman" w:eastAsiaTheme="minorEastAsia" w:hAnsi="Times New Roman" w:cs="Times New Roman"/>
      <w:sz w:val="24"/>
      <w:lang w:eastAsia="en-CA"/>
    </w:rPr>
  </w:style>
  <w:style w:type="character" w:styleId="CommentReference">
    <w:name w:val="annotation reference"/>
    <w:basedOn w:val="DefaultParagraphFont"/>
    <w:uiPriority w:val="99"/>
    <w:semiHidden/>
    <w:unhideWhenUsed/>
    <w:rsid w:val="00EA6300"/>
    <w:rPr>
      <w:sz w:val="16"/>
      <w:szCs w:val="16"/>
    </w:rPr>
  </w:style>
  <w:style w:type="paragraph" w:styleId="CommentText">
    <w:name w:val="annotation text"/>
    <w:basedOn w:val="Normal"/>
    <w:link w:val="CommentTextChar"/>
    <w:uiPriority w:val="99"/>
    <w:semiHidden/>
    <w:unhideWhenUsed/>
    <w:rsid w:val="00EA6300"/>
    <w:pPr>
      <w:spacing w:line="240" w:lineRule="auto"/>
    </w:pPr>
    <w:rPr>
      <w:sz w:val="20"/>
      <w:szCs w:val="20"/>
    </w:rPr>
  </w:style>
  <w:style w:type="character" w:customStyle="1" w:styleId="CommentTextChar">
    <w:name w:val="Comment Text Char"/>
    <w:basedOn w:val="DefaultParagraphFont"/>
    <w:link w:val="CommentText"/>
    <w:uiPriority w:val="99"/>
    <w:semiHidden/>
    <w:rsid w:val="00EA630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A6300"/>
    <w:rPr>
      <w:b/>
      <w:bCs/>
    </w:rPr>
  </w:style>
  <w:style w:type="character" w:customStyle="1" w:styleId="CommentSubjectChar">
    <w:name w:val="Comment Subject Char"/>
    <w:basedOn w:val="CommentTextChar"/>
    <w:link w:val="CommentSubject"/>
    <w:uiPriority w:val="99"/>
    <w:semiHidden/>
    <w:rsid w:val="00EA6300"/>
    <w:rPr>
      <w:rFonts w:asciiTheme="minorHAnsi" w:hAnsiTheme="minorHAnsi"/>
      <w:b/>
      <w:bCs/>
      <w:sz w:val="20"/>
      <w:szCs w:val="20"/>
    </w:rPr>
  </w:style>
  <w:style w:type="character" w:customStyle="1" w:styleId="Heading1Char">
    <w:name w:val="Heading 1 Char"/>
    <w:basedOn w:val="DefaultParagraphFont"/>
    <w:link w:val="Heading1"/>
    <w:uiPriority w:val="9"/>
    <w:rsid w:val="00FD4127"/>
    <w:rPr>
      <w:rFonts w:asciiTheme="majorHAnsi" w:eastAsiaTheme="majorEastAsia" w:hAnsiTheme="majorHAns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E0699-1E4F-46D1-923A-67FD2E77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Boyer</dc:creator>
  <cp:lastModifiedBy>Julie Gagnon</cp:lastModifiedBy>
  <cp:revision>3</cp:revision>
  <cp:lastPrinted>2014-10-22T17:21:00Z</cp:lastPrinted>
  <dcterms:created xsi:type="dcterms:W3CDTF">2019-10-25T14:53:00Z</dcterms:created>
  <dcterms:modified xsi:type="dcterms:W3CDTF">2019-10-25T18:23:00Z</dcterms:modified>
</cp:coreProperties>
</file>