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line="240" w:lineRule="auto"/>
        <w:jc w:val="center"/>
        <w:rPr>
          <w:b w:val="1"/>
          <w:sz w:val="28"/>
          <w:szCs w:val="28"/>
        </w:rPr>
      </w:pPr>
      <w:bookmarkStart w:colFirst="0" w:colLast="0" w:name="_heading=h.gjdgxs" w:id="0"/>
      <w:bookmarkEnd w:id="0"/>
      <w:r w:rsidDel="00000000" w:rsidR="00000000" w:rsidRPr="00000000">
        <w:rPr>
          <w:b w:val="1"/>
          <w:sz w:val="28"/>
          <w:szCs w:val="28"/>
          <w:rtl w:val="0"/>
        </w:rPr>
        <w:t xml:space="preserve">Policy on Member Fees</w:t>
      </w:r>
    </w:p>
    <w:p w:rsidR="00000000" w:rsidDel="00000000" w:rsidP="00000000" w:rsidRDefault="00000000" w:rsidRPr="00000000" w14:paraId="00000002">
      <w:pPr>
        <w:spacing w:after="240" w:line="240" w:lineRule="auto"/>
        <w:jc w:val="center"/>
        <w:rPr>
          <w:b w:val="1"/>
          <w:sz w:val="24"/>
          <w:szCs w:val="24"/>
        </w:rPr>
      </w:pPr>
      <w:r w:rsidDel="00000000" w:rsidR="00000000" w:rsidRPr="00000000">
        <w:rPr>
          <w:b w:val="1"/>
          <w:sz w:val="24"/>
          <w:szCs w:val="24"/>
          <w:rtl w:val="0"/>
        </w:rPr>
        <w:t xml:space="preserve">Effective Date: November 2023</w:t>
      </w:r>
    </w:p>
    <w:tbl>
      <w:tblPr>
        <w:tblStyle w:val="Table1"/>
        <w:tblW w:w="10091.0" w:type="dxa"/>
        <w:jc w:val="left"/>
        <w:tblBorders>
          <w:top w:color="000000" w:space="0" w:sz="4" w:val="single"/>
          <w:left w:color="000000" w:space="0" w:sz="0" w:val="nil"/>
          <w:bottom w:color="000000" w:space="0" w:sz="4" w:val="single"/>
          <w:right w:color="000000" w:space="0" w:sz="0" w:val="nil"/>
          <w:insideH w:color="000000" w:space="0" w:sz="4" w:val="single"/>
          <w:insideV w:color="000000" w:space="0" w:sz="0" w:val="nil"/>
        </w:tblBorders>
        <w:tblLayout w:type="fixed"/>
        <w:tblLook w:val="0400"/>
      </w:tblPr>
      <w:tblGrid>
        <w:gridCol w:w="2659"/>
        <w:gridCol w:w="7432"/>
        <w:tblGridChange w:id="0">
          <w:tblGrid>
            <w:gridCol w:w="2659"/>
            <w:gridCol w:w="7432"/>
          </w:tblGrid>
        </w:tblGridChange>
      </w:tblGrid>
      <w:tr>
        <w:trPr>
          <w:cantSplit w:val="1"/>
          <w:trHeight w:val="995" w:hRule="atLeast"/>
          <w:tblHeader w:val="0"/>
        </w:trPr>
        <w:tc>
          <w:tcPr/>
          <w:p w:rsidR="00000000" w:rsidDel="00000000" w:rsidP="00000000" w:rsidRDefault="00000000" w:rsidRPr="00000000" w14:paraId="00000003">
            <w:pPr>
              <w:numPr>
                <w:ilvl w:val="0"/>
                <w:numId w:val="1"/>
              </w:numPr>
              <w:pBdr>
                <w:top w:space="0" w:sz="0" w:val="nil"/>
                <w:left w:space="0" w:sz="0" w:val="nil"/>
                <w:bottom w:space="0" w:sz="0" w:val="nil"/>
                <w:right w:space="0" w:sz="0" w:val="nil"/>
                <w:between w:space="0" w:sz="0" w:val="nil"/>
              </w:pBdr>
              <w:spacing w:after="200" w:before="120" w:line="276" w:lineRule="auto"/>
              <w:ind w:left="360" w:hanging="360"/>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Purpose and Scope</w:t>
            </w:r>
          </w:p>
        </w:tc>
        <w:tc>
          <w:tcPr/>
          <w:p w:rsidR="00000000" w:rsidDel="00000000" w:rsidP="00000000" w:rsidRDefault="00000000" w:rsidRPr="00000000" w14:paraId="00000004">
            <w:pPr>
              <w:spacing w:before="120" w:lineRule="auto"/>
              <w:rPr/>
            </w:pPr>
            <w:r w:rsidDel="00000000" w:rsidR="00000000" w:rsidRPr="00000000">
              <w:rPr>
                <w:rtl w:val="0"/>
              </w:rPr>
              <w:t xml:space="preserve">The purpose of this policy is to provide guidance related to the collection, refund, and documentation of member fees in specific situations not clarified in the Institute bylaws.</w:t>
            </w:r>
          </w:p>
        </w:tc>
      </w:tr>
      <w:tr>
        <w:trPr>
          <w:cantSplit w:val="1"/>
          <w:trHeight w:val="1292" w:hRule="atLeast"/>
          <w:tblHeader w:val="0"/>
        </w:trPr>
        <w:tc>
          <w:tcPr/>
          <w:p w:rsidR="00000000" w:rsidDel="00000000" w:rsidP="00000000" w:rsidRDefault="00000000" w:rsidRPr="00000000" w14:paraId="00000005">
            <w:pPr>
              <w:numPr>
                <w:ilvl w:val="0"/>
                <w:numId w:val="1"/>
              </w:numPr>
              <w:pBdr>
                <w:top w:space="0" w:sz="0" w:val="nil"/>
                <w:left w:space="0" w:sz="0" w:val="nil"/>
                <w:bottom w:space="0" w:sz="0" w:val="nil"/>
                <w:right w:space="0" w:sz="0" w:val="nil"/>
                <w:between w:space="0" w:sz="0" w:val="nil"/>
              </w:pBdr>
              <w:spacing w:after="200" w:before="120" w:line="276" w:lineRule="auto"/>
              <w:ind w:left="360" w:hanging="360"/>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Refunds</w:t>
            </w:r>
          </w:p>
        </w:tc>
        <w:tc>
          <w:tcPr/>
          <w:p w:rsidR="00000000" w:rsidDel="00000000" w:rsidP="00000000" w:rsidRDefault="00000000" w:rsidRPr="00000000" w14:paraId="00000006">
            <w:pPr>
              <w:spacing w:before="120" w:lineRule="auto"/>
              <w:rPr/>
            </w:pPr>
            <w:r w:rsidDel="00000000" w:rsidR="00000000" w:rsidRPr="00000000">
              <w:rPr>
                <w:rtl w:val="0"/>
              </w:rPr>
              <w:t xml:space="preserve">The Board may, at its discretion and within a reasonable time, refund fees, in full or in part, to Regular members who are defined by the applicable legislation as casual employees, or under such other circumstances deemed appropriate by the Board.  </w:t>
            </w:r>
          </w:p>
        </w:tc>
      </w:tr>
      <w:tr>
        <w:trPr>
          <w:cantSplit w:val="1"/>
          <w:trHeight w:val="710" w:hRule="atLeast"/>
          <w:tblHeader w:val="0"/>
        </w:trPr>
        <w:tc>
          <w:tcPr/>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spacing w:after="200" w:before="120" w:line="276" w:lineRule="auto"/>
              <w:ind w:left="360" w:hanging="360"/>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Leave Without Pay</w:t>
            </w:r>
          </w:p>
        </w:tc>
        <w:tc>
          <w:tcPr/>
          <w:p w:rsidR="00000000" w:rsidDel="00000000" w:rsidP="00000000" w:rsidRDefault="00000000" w:rsidRPr="00000000" w14:paraId="00000008">
            <w:pPr>
              <w:spacing w:before="120" w:lineRule="auto"/>
              <w:rPr/>
            </w:pPr>
            <w:r w:rsidDel="00000000" w:rsidR="00000000" w:rsidRPr="00000000">
              <w:rPr>
                <w:rtl w:val="0"/>
              </w:rPr>
              <w:t xml:space="preserve">Regular members on leave without pay wishing to retain their rights, shall be charged the same fee as Retired Members.</w:t>
            </w:r>
          </w:p>
        </w:tc>
      </w:tr>
      <w:tr>
        <w:trPr>
          <w:cantSplit w:val="1"/>
          <w:trHeight w:val="1874" w:hRule="atLeast"/>
          <w:tblHeader w:val="0"/>
        </w:trPr>
        <w:tc>
          <w:tcPr/>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spacing w:after="200" w:before="120" w:line="276" w:lineRule="auto"/>
              <w:ind w:left="360" w:hanging="360"/>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Lay-Off</w:t>
            </w:r>
          </w:p>
        </w:tc>
        <w:tc>
          <w:tcPr/>
          <w:p w:rsidR="00000000" w:rsidDel="00000000" w:rsidP="00000000" w:rsidRDefault="00000000" w:rsidRPr="00000000" w14:paraId="0000000A">
            <w:pPr>
              <w:spacing w:before="120" w:lineRule="auto"/>
              <w:rPr/>
            </w:pPr>
            <w:r w:rsidDel="00000000" w:rsidR="00000000" w:rsidRPr="00000000">
              <w:rPr>
                <w:rtl w:val="0"/>
              </w:rPr>
              <w:t xml:space="preserve">Regular members who become ineligible to belong to an Institute bargaining unit may, for the duration of the lay-off period or action taken by the Institute as a consequence of lay-off, opt to become an Affiliate member as provided for in these By-Laws. Notwithstanding the foregoing, Regular members on lay-off status shall retain their membership for a period up to and including six (6) months, and fees shall be waived for the duration of said period. </w:t>
            </w:r>
          </w:p>
        </w:tc>
      </w:tr>
      <w:tr>
        <w:trPr>
          <w:cantSplit w:val="1"/>
          <w:trHeight w:val="439" w:hRule="atLeast"/>
          <w:tblHeader w:val="0"/>
        </w:trPr>
        <w:tc>
          <w:tcPr/>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pacing w:after="200" w:before="120" w:line="276" w:lineRule="auto"/>
              <w:ind w:left="360" w:hanging="360"/>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Honorary Members</w:t>
            </w:r>
          </w:p>
        </w:tc>
        <w:tc>
          <w:tcPr/>
          <w:p w:rsidR="00000000" w:rsidDel="00000000" w:rsidP="00000000" w:rsidRDefault="00000000" w:rsidRPr="00000000" w14:paraId="0000000C">
            <w:pPr>
              <w:spacing w:before="120" w:lineRule="auto"/>
              <w:rPr/>
            </w:pPr>
            <w:r w:rsidDel="00000000" w:rsidR="00000000" w:rsidRPr="00000000">
              <w:rPr>
                <w:rtl w:val="0"/>
              </w:rPr>
              <w:t xml:space="preserve">Honorary members shall not be required to pay fees.</w:t>
            </w:r>
          </w:p>
        </w:tc>
      </w:tr>
      <w:tr>
        <w:trPr>
          <w:cantSplit w:val="1"/>
          <w:trHeight w:val="710" w:hRule="atLeast"/>
          <w:tblHeader w:val="0"/>
        </w:trPr>
        <w:tc>
          <w:tcPr/>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pacing w:after="200" w:before="120" w:line="276" w:lineRule="auto"/>
              <w:ind w:left="360" w:hanging="360"/>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Receipts</w:t>
            </w:r>
          </w:p>
        </w:tc>
        <w:tc>
          <w:tcPr/>
          <w:p w:rsidR="00000000" w:rsidDel="00000000" w:rsidP="00000000" w:rsidRDefault="00000000" w:rsidRPr="00000000" w14:paraId="0000000E">
            <w:pPr>
              <w:spacing w:before="120" w:lineRule="auto"/>
              <w:rPr/>
            </w:pPr>
            <w:r w:rsidDel="00000000" w:rsidR="00000000" w:rsidRPr="00000000">
              <w:rPr>
                <w:rtl w:val="0"/>
              </w:rPr>
              <w:t xml:space="preserve">Official receipts, for tax purposes, shall be sent at the end of the year to all members not receiving same from the employer.</w:t>
            </w:r>
          </w:p>
        </w:tc>
      </w:tr>
      <w:tr>
        <w:trPr>
          <w:cantSplit w:val="1"/>
          <w:trHeight w:val="989" w:hRule="atLeast"/>
          <w:tblHeader w:val="0"/>
        </w:trPr>
        <w:tc>
          <w:tcPr/>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pacing w:after="200" w:before="120" w:line="276" w:lineRule="auto"/>
              <w:ind w:left="360" w:hanging="360"/>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Arrears</w:t>
            </w:r>
          </w:p>
          <w:p w:rsidR="00000000" w:rsidDel="00000000" w:rsidP="00000000" w:rsidRDefault="00000000" w:rsidRPr="00000000" w14:paraId="00000010">
            <w:pPr>
              <w:spacing w:before="120" w:lineRule="auto"/>
              <w:rPr>
                <w:b w:val="1"/>
                <w:sz w:val="24"/>
                <w:szCs w:val="24"/>
              </w:rPr>
            </w:pPr>
            <w:r w:rsidDel="00000000" w:rsidR="00000000" w:rsidRPr="00000000">
              <w:rPr>
                <w:rtl w:val="0"/>
              </w:rPr>
            </w:r>
          </w:p>
        </w:tc>
        <w:tc>
          <w:tcPr/>
          <w:p w:rsidR="00000000" w:rsidDel="00000000" w:rsidP="00000000" w:rsidRDefault="00000000" w:rsidRPr="00000000" w14:paraId="00000011">
            <w:pPr>
              <w:spacing w:before="240" w:lineRule="auto"/>
              <w:rPr/>
            </w:pPr>
            <w:r w:rsidDel="00000000" w:rsidR="00000000" w:rsidRPr="00000000">
              <w:rPr>
                <w:rtl w:val="0"/>
              </w:rPr>
              <w:t xml:space="preserve">Any amounts that the Institute owes to the member shall be used to offset the fees owed by the member.</w:t>
            </w:r>
          </w:p>
        </w:tc>
      </w:tr>
      <w:tr>
        <w:trPr>
          <w:cantSplit w:val="1"/>
          <w:trHeight w:val="134" w:hRule="atLeast"/>
          <w:tblHeader w:val="0"/>
        </w:trPr>
        <w:tc>
          <w:tcPr/>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pacing w:before="120" w:line="276" w:lineRule="auto"/>
              <w:ind w:left="360" w:hanging="360"/>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Dues Fairness</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200" w:line="276" w:lineRule="auto"/>
              <w:ind w:left="360" w:firstLine="0"/>
              <w:rPr>
                <w:rFonts w:ascii="Calibri" w:cs="Calibri" w:eastAsia="Calibri" w:hAnsi="Calibri"/>
                <w:b w:val="1"/>
                <w:color w:val="000000"/>
                <w:sz w:val="24"/>
                <w:szCs w:val="24"/>
              </w:rPr>
            </w:pPr>
            <w:r w:rsidDel="00000000" w:rsidR="00000000" w:rsidRPr="00000000">
              <w:rPr>
                <w:rtl w:val="0"/>
              </w:rPr>
            </w:r>
          </w:p>
        </w:tc>
        <w:tc>
          <w:tcPr/>
          <w:p w:rsidR="00000000" w:rsidDel="00000000" w:rsidP="00000000" w:rsidRDefault="00000000" w:rsidRPr="00000000" w14:paraId="00000014">
            <w:pPr>
              <w:spacing w:before="240" w:line="276" w:lineRule="auto"/>
              <w:rPr>
                <w:color w:val="333038"/>
              </w:rPr>
            </w:pPr>
            <w:r w:rsidDel="00000000" w:rsidR="00000000" w:rsidRPr="00000000">
              <w:rPr>
                <w:color w:val="333038"/>
                <w:rtl w:val="0"/>
              </w:rPr>
              <w:t xml:space="preserve">Members who have paid more than 2.0% of their gross annual earnings as indicated on their T4 are eligible to apply to PIPSC for reimbursement of any dues paid above the 2.0%, to be credited against the following year’s dues. </w:t>
            </w:r>
          </w:p>
          <w:p w:rsidR="00000000" w:rsidDel="00000000" w:rsidP="00000000" w:rsidRDefault="00000000" w:rsidRPr="00000000" w14:paraId="00000015">
            <w:pPr>
              <w:spacing w:after="200" w:lineRule="auto"/>
              <w:jc w:val="right"/>
              <w:rPr>
                <w:b w:val="1"/>
              </w:rPr>
            </w:pPr>
            <w:r w:rsidDel="00000000" w:rsidR="00000000" w:rsidRPr="00000000">
              <w:rPr>
                <w:b w:val="1"/>
                <w:color w:val="333038"/>
                <w:sz w:val="20"/>
                <w:szCs w:val="20"/>
                <w:rtl w:val="0"/>
              </w:rPr>
              <w:t xml:space="preserve">(AGM 2017) </w:t>
            </w:r>
            <w:r w:rsidDel="00000000" w:rsidR="00000000" w:rsidRPr="00000000">
              <w:rPr>
                <w:rtl w:val="0"/>
              </w:rPr>
            </w:r>
          </w:p>
        </w:tc>
      </w:tr>
      <w:tr>
        <w:trPr>
          <w:cantSplit w:val="1"/>
          <w:trHeight w:val="134" w:hRule="atLeast"/>
          <w:tblHeader w:val="0"/>
        </w:trPr>
        <w:tc>
          <w:tcPr/>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pacing w:after="200" w:before="120" w:line="276" w:lineRule="auto"/>
              <w:ind w:left="360" w:hanging="360"/>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References</w:t>
            </w:r>
          </w:p>
        </w:tc>
        <w:tc>
          <w:tcPr/>
          <w:p w:rsidR="00000000" w:rsidDel="00000000" w:rsidP="00000000" w:rsidRDefault="00000000" w:rsidRPr="00000000" w14:paraId="00000017">
            <w:pPr>
              <w:spacing w:before="120" w:lineRule="auto"/>
              <w:rPr/>
            </w:pPr>
            <w:r w:rsidDel="00000000" w:rsidR="00000000" w:rsidRPr="00000000">
              <w:rPr>
                <w:rtl w:val="0"/>
              </w:rPr>
              <w:t xml:space="preserve">Bylaw 14</w:t>
            </w:r>
          </w:p>
        </w:tc>
      </w:tr>
    </w:tbl>
    <w:p w:rsidR="00000000" w:rsidDel="00000000" w:rsidP="00000000" w:rsidRDefault="00000000" w:rsidRPr="00000000" w14:paraId="00000018">
      <w:pPr>
        <w:spacing w:line="240" w:lineRule="auto"/>
        <w:rPr>
          <w:sz w:val="24"/>
          <w:szCs w:val="24"/>
        </w:rPr>
      </w:pPr>
      <w:r w:rsidDel="00000000" w:rsidR="00000000" w:rsidRPr="00000000">
        <w:rPr>
          <w:rtl w:val="0"/>
        </w:rPr>
      </w:r>
    </w:p>
    <w:p w:rsidR="00000000" w:rsidDel="00000000" w:rsidP="00000000" w:rsidRDefault="00000000" w:rsidRPr="00000000" w14:paraId="00000019">
      <w:pPr>
        <w:spacing w:line="240" w:lineRule="auto"/>
        <w:rPr>
          <w:sz w:val="24"/>
          <w:szCs w:val="24"/>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440" w:left="1440" w:right="1440" w:header="708" w:footer="57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Board Policy Manual</w:t>
      <w:tab/>
      <w:tab/>
    </w:r>
    <w:r w:rsidDel="00000000" w:rsidR="00000000" w:rsidRPr="00000000">
      <w:rPr>
        <w:rFonts w:ascii="Calibri" w:cs="Calibri" w:eastAsia="Calibri" w:hAnsi="Calibri"/>
        <w:color w:val="7f7f7f"/>
        <w:sz w:val="20"/>
        <w:szCs w:val="20"/>
        <w:rtl w:val="0"/>
      </w:rPr>
      <w:t xml:space="preserve">Page</w:t>
    </w:r>
    <w:r w:rsidDel="00000000" w:rsidR="00000000" w:rsidRPr="00000000">
      <w:rPr>
        <w:rFonts w:ascii="Calibri" w:cs="Calibri" w:eastAsia="Calibri" w:hAnsi="Calibri"/>
        <w:color w:val="000000"/>
        <w:sz w:val="20"/>
        <w:szCs w:val="20"/>
        <w:rtl w:val="0"/>
      </w:rPr>
      <w:t xml:space="preserve"> | </w:t>
    </w:r>
    <w:r w:rsidDel="00000000" w:rsidR="00000000" w:rsidRPr="00000000">
      <w:rPr>
        <w:rFonts w:ascii="Calibri" w:cs="Calibri" w:eastAsia="Calibri" w:hAnsi="Calibri"/>
        <w:color w:val="000000"/>
        <w:sz w:val="20"/>
        <w:szCs w:val="20"/>
      </w:rPr>
      <w:fldChar w:fldCharType="begin"/>
      <w:instrText xml:space="preserve">PAGE</w:instrText>
      <w:fldChar w:fldCharType="separate"/>
      <w:fldChar w:fldCharType="end"/>
    </w:r>
    <w:r w:rsidDel="00000000" w:rsidR="00000000" w:rsidRPr="00000000">
      <w:rPr>
        <w:rFonts w:ascii="Calibri" w:cs="Calibri" w:eastAsia="Calibri" w:hAnsi="Calibri"/>
        <w:color w:val="000000"/>
        <w:sz w:val="20"/>
        <w:szCs w:val="20"/>
        <w:rtl w:val="0"/>
      </w:rPr>
      <w:t xml:space="preserve"> 1 -</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Board Policy Manual</w:t>
      <w:tab/>
      <w:tab/>
    </w:r>
    <w:r w:rsidDel="00000000" w:rsidR="00000000" w:rsidRPr="00000000">
      <w:rPr>
        <w:rFonts w:ascii="Calibri" w:cs="Calibri" w:eastAsia="Calibri" w:hAnsi="Calibri"/>
        <w:color w:val="000000"/>
        <w:sz w:val="20"/>
        <w:szCs w:val="20"/>
      </w:rPr>
      <w:fldChar w:fldCharType="begin"/>
      <w:instrText xml:space="preserve">PAGE</w:instrText>
      <w:fldChar w:fldCharType="separate"/>
      <w:fldChar w:fldCharType="end"/>
    </w:r>
    <w:r w:rsidDel="00000000" w:rsidR="00000000" w:rsidRPr="00000000">
      <w:rPr>
        <w:rFonts w:ascii="Calibri" w:cs="Calibri" w:eastAsia="Calibri" w:hAnsi="Calibri"/>
        <w:color w:val="000000"/>
        <w:sz w:val="20"/>
        <w:szCs w:val="20"/>
        <w:rtl w:val="0"/>
      </w:rPr>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rFonts w:ascii="Calibri" w:cs="Calibri" w:eastAsia="Calibri" w:hAnsi="Calibri"/>
        <w:color w:val="000000"/>
      </w:rPr>
    </w:pPr>
    <w:r w:rsidDel="00000000" w:rsidR="00000000" w:rsidRPr="00000000">
      <w:rPr>
        <w:rFonts w:ascii="Calibri" w:cs="Calibri" w:eastAsia="Calibri" w:hAnsi="Calibri"/>
        <w:color w:val="000000"/>
      </w:rPr>
      <w:drawing>
        <wp:inline distB="0" distT="0" distL="0" distR="0">
          <wp:extent cx="4242879" cy="746584"/>
          <wp:effectExtent b="0" l="0" r="0" t="0"/>
          <wp:docPr id="1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242879" cy="746584"/>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rFonts w:ascii="Calibri" w:cs="Calibri" w:eastAsia="Calibri" w:hAnsi="Calibri"/>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CA"/>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9F76B7"/>
    <w:rPr>
      <w:rFonts w:asciiTheme="minorHAnsi" w:hAnsiTheme="minorHAnsi"/>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BalloonText">
    <w:name w:val="Balloon Text"/>
    <w:basedOn w:val="Normal"/>
    <w:link w:val="BalloonTextChar"/>
    <w:uiPriority w:val="99"/>
    <w:semiHidden w:val="1"/>
    <w:unhideWhenUsed w:val="1"/>
    <w:rsid w:val="00A97DBB"/>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A97DBB"/>
    <w:rPr>
      <w:rFonts w:ascii="Tahoma" w:cs="Tahoma" w:hAnsi="Tahoma"/>
      <w:sz w:val="16"/>
      <w:szCs w:val="16"/>
    </w:rPr>
  </w:style>
  <w:style w:type="paragraph" w:styleId="Header">
    <w:name w:val="header"/>
    <w:basedOn w:val="Normal"/>
    <w:link w:val="HeaderChar"/>
    <w:uiPriority w:val="99"/>
    <w:unhideWhenUsed w:val="1"/>
    <w:rsid w:val="001C6CC8"/>
    <w:pPr>
      <w:tabs>
        <w:tab w:val="center" w:pos="4680"/>
        <w:tab w:val="right" w:pos="9360"/>
      </w:tabs>
      <w:spacing w:after="0" w:line="240" w:lineRule="auto"/>
    </w:pPr>
  </w:style>
  <w:style w:type="character" w:styleId="HeaderChar" w:customStyle="1">
    <w:name w:val="Header Char"/>
    <w:basedOn w:val="DefaultParagraphFont"/>
    <w:link w:val="Header"/>
    <w:uiPriority w:val="99"/>
    <w:rsid w:val="001C6CC8"/>
  </w:style>
  <w:style w:type="paragraph" w:styleId="Footer">
    <w:name w:val="footer"/>
    <w:basedOn w:val="Normal"/>
    <w:link w:val="FooterChar"/>
    <w:uiPriority w:val="99"/>
    <w:unhideWhenUsed w:val="1"/>
    <w:rsid w:val="001C6CC8"/>
    <w:pPr>
      <w:tabs>
        <w:tab w:val="center" w:pos="4680"/>
        <w:tab w:val="right" w:pos="9360"/>
      </w:tabs>
      <w:spacing w:after="0" w:line="240" w:lineRule="auto"/>
    </w:pPr>
  </w:style>
  <w:style w:type="character" w:styleId="FooterChar" w:customStyle="1">
    <w:name w:val="Footer Char"/>
    <w:basedOn w:val="DefaultParagraphFont"/>
    <w:link w:val="Footer"/>
    <w:uiPriority w:val="99"/>
    <w:rsid w:val="001C6CC8"/>
  </w:style>
  <w:style w:type="paragraph" w:styleId="ListParagraph">
    <w:name w:val="List Paragraph"/>
    <w:basedOn w:val="Normal"/>
    <w:uiPriority w:val="34"/>
    <w:qFormat w:val="1"/>
    <w:rsid w:val="005A42AA"/>
    <w:pPr>
      <w:ind w:left="720"/>
      <w:contextualSpacing w:val="1"/>
    </w:pPr>
  </w:style>
  <w:style w:type="table" w:styleId="TableGrid">
    <w:name w:val="Table Grid"/>
    <w:basedOn w:val="TableNormal"/>
    <w:uiPriority w:val="59"/>
    <w:rsid w:val="0001430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Strong">
    <w:name w:val="Strong"/>
    <w:basedOn w:val="DefaultParagraphFont"/>
    <w:uiPriority w:val="22"/>
    <w:qFormat w:val="1"/>
    <w:rsid w:val="009F76B7"/>
    <w:rPr>
      <w:b w:val="1"/>
      <w:bCs w:val="1"/>
    </w:rPr>
  </w:style>
  <w:style w:type="paragraph" w:styleId="TOC1">
    <w:name w:val="toc 1"/>
    <w:basedOn w:val="Normal"/>
    <w:next w:val="Normal"/>
    <w:autoRedefine w:val="1"/>
    <w:uiPriority w:val="39"/>
    <w:unhideWhenUsed w:val="1"/>
    <w:rsid w:val="009F76B7"/>
    <w:pPr>
      <w:spacing w:after="100"/>
    </w:pPr>
  </w:style>
  <w:style w:type="paragraph" w:styleId="TOC2">
    <w:name w:val="toc 2"/>
    <w:basedOn w:val="Normal"/>
    <w:next w:val="Normal"/>
    <w:autoRedefine w:val="1"/>
    <w:uiPriority w:val="39"/>
    <w:unhideWhenUsed w:val="1"/>
    <w:rsid w:val="009F76B7"/>
    <w:pPr>
      <w:spacing w:after="100"/>
      <w:ind w:left="220"/>
    </w:pPr>
  </w:style>
  <w:style w:type="character" w:styleId="Hyperlink">
    <w:name w:val="Hyperlink"/>
    <w:basedOn w:val="DefaultParagraphFont"/>
    <w:uiPriority w:val="99"/>
    <w:unhideWhenUsed w:val="1"/>
    <w:rsid w:val="009F76B7"/>
    <w:rPr>
      <w:color w:val="0000ff" w:themeColor="hyperlink"/>
      <w:u w:val="single"/>
    </w:rPr>
  </w:style>
  <w:style w:type="paragraph" w:styleId="NormalWeb">
    <w:name w:val="Normal (Web)"/>
    <w:basedOn w:val="Normal"/>
    <w:uiPriority w:val="99"/>
    <w:semiHidden w:val="1"/>
    <w:unhideWhenUsed w:val="1"/>
    <w:rsid w:val="00E92973"/>
    <w:pPr>
      <w:spacing w:after="100" w:afterAutospacing="1" w:before="100" w:beforeAutospacing="1" w:line="240" w:lineRule="auto"/>
    </w:pPr>
    <w:rPr>
      <w:rFonts w:ascii="Times New Roman" w:cs="Times New Roman" w:hAnsi="Times New Roman" w:eastAsiaTheme="minorEastAsia"/>
      <w:sz w:val="24"/>
      <w:lang w:eastAsia="en-CA"/>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left w:w="72.0" w:type="dxa"/>
        <w:bottom w:w="101.0" w:type="dxa"/>
        <w:right w:w="72.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72.0" w:type="dxa"/>
        <w:bottom w:w="101.0" w:type="dxa"/>
        <w:right w:w="72.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9OGdzduW3p/6qSKeAne+eF93yA==">CgMxLjAyCGguZ2pkZ3hzOAByITFRdTAtLXhsbFdmSVh2ZHBRRS1qaUlKeEtsNVl1VEVoTg==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2023-10-16T17:42:00Z</dcterms:created>
  <dc:creator>Cindy Boyer</dc:creator>
</cp:coreProperties>
</file>