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Negotiations and Labour Disputes</w:t>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Effective Date: 6 May 2025</w:t>
      </w:r>
    </w:p>
    <w:p w:rsidR="00000000" w:rsidDel="00000000" w:rsidP="00000000" w:rsidRDefault="00000000" w:rsidRPr="00000000" w14:paraId="00000003">
      <w:pPr>
        <w:spacing w:after="240" w:line="240" w:lineRule="auto"/>
        <w:jc w:val="right"/>
        <w:rPr>
          <w:i w:val="1"/>
          <w:sz w:val="18"/>
          <w:szCs w:val="18"/>
        </w:rPr>
      </w:pPr>
      <w:r w:rsidDel="00000000" w:rsidR="00000000" w:rsidRPr="00000000">
        <w:rPr>
          <w:i w:val="1"/>
          <w:sz w:val="18"/>
          <w:szCs w:val="18"/>
          <w:rtl w:val="0"/>
        </w:rPr>
        <w:t xml:space="preserve">(Original submitted in English)</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Purpose and Scope</w:t>
            </w:r>
          </w:p>
        </w:tc>
        <w:tc>
          <w:tcPr/>
          <w:p w:rsidR="00000000" w:rsidDel="00000000" w:rsidP="00000000" w:rsidRDefault="00000000" w:rsidRPr="00000000" w14:paraId="00000005">
            <w:pPr>
              <w:spacing w:before="120" w:lineRule="auto"/>
              <w:rPr/>
            </w:pPr>
            <w:r w:rsidDel="00000000" w:rsidR="00000000" w:rsidRPr="00000000">
              <w:rPr>
                <w:rtl w:val="0"/>
              </w:rPr>
              <w:t xml:space="preserve">The purpose of this policy is to define the parameters within which bargaining is conducted within the Institute. </w:t>
            </w:r>
          </w:p>
        </w:tc>
      </w:tr>
      <w:tr>
        <w:trPr>
          <w:cantSplit w:val="1"/>
          <w:tblHeader w:val="0"/>
        </w:trPr>
        <w:tc>
          <w:tcPr/>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Setting Bargaining Priorities and Strategies</w:t>
            </w:r>
          </w:p>
        </w:tc>
        <w:tc>
          <w:tcPr/>
          <w:p w:rsidR="00000000" w:rsidDel="00000000" w:rsidP="00000000" w:rsidRDefault="00000000" w:rsidRPr="00000000" w14:paraId="00000007">
            <w:pPr>
              <w:spacing w:before="120" w:lineRule="auto"/>
              <w:rPr/>
            </w:pPr>
            <w:r w:rsidDel="00000000" w:rsidR="00000000" w:rsidRPr="00000000">
              <w:rPr>
                <w:rtl w:val="0"/>
              </w:rPr>
              <w:t xml:space="preserve">The bargaining certificates are held by the Institute, and at its discretion the Institute may set bargaining strategies in line with overall Institute goals or priorities.</w:t>
            </w:r>
          </w:p>
          <w:p w:rsidR="00000000" w:rsidDel="00000000" w:rsidP="00000000" w:rsidRDefault="00000000" w:rsidRPr="00000000" w14:paraId="00000008">
            <w:pPr>
              <w:spacing w:before="120" w:lineRule="auto"/>
              <w:rPr/>
            </w:pPr>
            <w:r w:rsidDel="00000000" w:rsidR="00000000" w:rsidRPr="00000000">
              <w:rPr>
                <w:rtl w:val="0"/>
              </w:rPr>
              <w:t xml:space="preserve">In addition, the Institute’s Groups may determine their own bargaining priorities and strategies to deal with current concerns specific to their members.  </w:t>
            </w:r>
          </w:p>
        </w:tc>
      </w:tr>
      <w:tr>
        <w:trPr>
          <w:cantSplit w:val="1"/>
          <w:tblHeader w:val="0"/>
        </w:trPr>
        <w:tc>
          <w:tcPr/>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Representing the Authority of the Institute</w:t>
            </w:r>
          </w:p>
        </w:tc>
        <w:tc>
          <w:tcPr/>
          <w:p w:rsidR="00000000" w:rsidDel="00000000" w:rsidP="00000000" w:rsidRDefault="00000000" w:rsidRPr="00000000" w14:paraId="0000000A">
            <w:pPr>
              <w:spacing w:before="120" w:lineRule="auto"/>
              <w:rPr/>
            </w:pPr>
            <w:r w:rsidDel="00000000" w:rsidR="00000000" w:rsidRPr="00000000">
              <w:rPr>
                <w:rtl w:val="0"/>
              </w:rPr>
              <w:t xml:space="preserve">When members of a Group and Institute employees appear together as Institute representatives in the collective bargaining context (for example, negotiations, conciliation and arbitration boards), the Institute employee shall represent the authority of the Institute in consultation with Group Executive members.  Group Executives shall advise the Institute employee of their priorities in bargaining matters.</w:t>
            </w:r>
          </w:p>
        </w:tc>
      </w:tr>
      <w:tr>
        <w:trPr>
          <w:cantSplit w:val="1"/>
          <w:tblHeader w:val="0"/>
        </w:trPr>
        <w:tc>
          <w:tcPr/>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Funding of Bargaining Activities</w:t>
            </w:r>
          </w:p>
        </w:tc>
        <w:tc>
          <w:tcPr/>
          <w:p w:rsidR="00000000" w:rsidDel="00000000" w:rsidP="00000000" w:rsidRDefault="00000000" w:rsidRPr="00000000" w14:paraId="0000000C">
            <w:pPr>
              <w:spacing w:before="120" w:lineRule="auto"/>
              <w:rPr/>
            </w:pPr>
            <w:r w:rsidDel="00000000" w:rsidR="00000000" w:rsidRPr="00000000">
              <w:rPr>
                <w:rtl w:val="0"/>
              </w:rPr>
              <w:t xml:space="preserve">The Institute shall maintain a separate Bargaining Fund to supplement Institute bargaining activities: </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before="120" w:line="276" w:lineRule="auto"/>
              <w:ind w:left="720" w:hanging="360"/>
              <w:rPr/>
            </w:pPr>
            <w:r w:rsidDel="00000000" w:rsidR="00000000" w:rsidRPr="00000000">
              <w:rPr>
                <w:rFonts w:ascii="Calibri" w:cs="Calibri" w:eastAsia="Calibri" w:hAnsi="Calibri"/>
                <w:color w:val="000000"/>
                <w:rtl w:val="0"/>
              </w:rPr>
              <w:t xml:space="preserve">by transferring unused amounts from a negotiations budget allocation of $2 per member per month;</w:t>
            </w:r>
            <w:r w:rsidDel="00000000" w:rsidR="00000000" w:rsidRPr="00000000">
              <w:rPr>
                <w:rtl w:val="0"/>
              </w:rPr>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Calibri" w:cs="Calibri" w:eastAsia="Calibri" w:hAnsi="Calibri"/>
                <w:color w:val="000000"/>
                <w:rtl w:val="0"/>
              </w:rPr>
              <w:t xml:space="preserve">no contributions to be made to this fund in any month where the opening balance of the fund is in excess of $5 million;</w:t>
            </w:r>
            <w:r w:rsidDel="00000000" w:rsidR="00000000" w:rsidRPr="00000000">
              <w:rPr>
                <w:rtl w:val="0"/>
              </w:rPr>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Fonts w:ascii="Calibri" w:cs="Calibri" w:eastAsia="Calibri" w:hAnsi="Calibri"/>
                <w:color w:val="000000"/>
                <w:rtl w:val="0"/>
              </w:rPr>
              <w:t xml:space="preserve">these funds to be held in an account that provides liquidity so that the funds are accessible; and</w:t>
            </w:r>
            <w:r w:rsidDel="00000000" w:rsidR="00000000" w:rsidRPr="00000000">
              <w:rPr>
                <w:rtl w:val="0"/>
              </w:rPr>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rFonts w:ascii="Calibri" w:cs="Calibri" w:eastAsia="Calibri" w:hAnsi="Calibri"/>
                <w:color w:val="000000"/>
                <w:rtl w:val="0"/>
              </w:rPr>
              <w:t xml:space="preserve">PIPSC Groups shall be allowed to access funds from this account in support of their bargaining activities. </w:t>
            </w:r>
            <w:r w:rsidDel="00000000" w:rsidR="00000000" w:rsidRPr="00000000">
              <w:rPr>
                <w:rFonts w:ascii="Calibri" w:cs="Calibri" w:eastAsia="Calibri" w:hAnsi="Calibri"/>
                <w:b w:val="1"/>
                <w:color w:val="000000"/>
                <w:rtl w:val="0"/>
              </w:rPr>
              <w:t xml:space="preserve">(AGM, 2008; BOD, Feb. 2012)</w:t>
            </w:r>
            <w:r w:rsidDel="00000000" w:rsidR="00000000" w:rsidRPr="00000000">
              <w:rPr>
                <w:rtl w:val="0"/>
              </w:rPr>
            </w:r>
          </w:p>
          <w:p w:rsidR="00000000" w:rsidDel="00000000" w:rsidP="00000000" w:rsidRDefault="00000000" w:rsidRPr="00000000" w14:paraId="00000011">
            <w:pPr>
              <w:spacing w:before="120" w:lineRule="auto"/>
              <w:rPr/>
            </w:pPr>
            <w:r w:rsidDel="00000000" w:rsidR="00000000" w:rsidRPr="00000000">
              <w:rPr>
                <w:rtl w:val="0"/>
              </w:rPr>
              <w:t xml:space="preserve">The Bargaining Fund is used only if the negotiations line item is completely used up in that year.</w:t>
            </w:r>
          </w:p>
          <w:p w:rsidR="00000000" w:rsidDel="00000000" w:rsidP="00000000" w:rsidRDefault="00000000" w:rsidRPr="00000000" w14:paraId="00000012">
            <w:pPr>
              <w:spacing w:before="120" w:lineRule="auto"/>
              <w:rPr/>
            </w:pPr>
            <w:r w:rsidDel="00000000" w:rsidR="00000000" w:rsidRPr="00000000">
              <w:rPr>
                <w:rtl w:val="0"/>
              </w:rPr>
              <w:t xml:space="preserve">The Group’s bargaining team shall liaise with their assigned negotiator to identify their needs for pre-bargaining meetings, bargaining meetings, and post-mortems.  </w:t>
            </w:r>
          </w:p>
          <w:p w:rsidR="00000000" w:rsidDel="00000000" w:rsidP="00000000" w:rsidRDefault="00000000" w:rsidRPr="00000000" w14:paraId="00000013">
            <w:pPr>
              <w:spacing w:before="120" w:lineRule="auto"/>
              <w:rPr/>
            </w:pPr>
            <w:r w:rsidDel="00000000" w:rsidR="00000000" w:rsidRPr="00000000">
              <w:rPr>
                <w:rtl w:val="0"/>
              </w:rPr>
              <w:t xml:space="preserve">Use of Institute funds for the purpose of bargaining is at the discretion of delegated Institute staff.</w:t>
            </w:r>
          </w:p>
        </w:tc>
      </w:tr>
      <w:tr>
        <w:trPr>
          <w:cantSplit w:val="1"/>
          <w:tblHeader w:val="0"/>
        </w:trPr>
        <w:tc>
          <w:tcPr/>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Compensatory Pay and Travel Expenses for Negotiations</w:t>
            </w:r>
          </w:p>
        </w:tc>
        <w:tc>
          <w:tcPr/>
          <w:p w:rsidR="00000000" w:rsidDel="00000000" w:rsidP="00000000" w:rsidRDefault="00000000" w:rsidRPr="00000000" w14:paraId="00000015">
            <w:pPr>
              <w:spacing w:before="120" w:lineRule="auto"/>
              <w:rPr>
                <w:b w:val="1"/>
              </w:rPr>
            </w:pPr>
            <w:r w:rsidDel="00000000" w:rsidR="00000000" w:rsidRPr="00000000">
              <w:rPr>
                <w:b w:val="1"/>
                <w:rtl w:val="0"/>
              </w:rPr>
              <w:t xml:space="preserve">Pre-Bargaining - All Groups</w:t>
            </w:r>
          </w:p>
          <w:p w:rsidR="00000000" w:rsidDel="00000000" w:rsidP="00000000" w:rsidRDefault="00000000" w:rsidRPr="00000000" w14:paraId="00000016">
            <w:pPr>
              <w:spacing w:before="120" w:lineRule="auto"/>
              <w:rPr/>
            </w:pPr>
            <w:bookmarkStart w:colFirst="0" w:colLast="0" w:name="_heading=h.30j0zll" w:id="1"/>
            <w:bookmarkEnd w:id="1"/>
            <w:r w:rsidDel="00000000" w:rsidR="00000000" w:rsidRPr="00000000">
              <w:rPr>
                <w:rtl w:val="0"/>
              </w:rPr>
              <w:t xml:space="preserve">In preparation for bargaining, and prior to the tabling of demands, compensatory pay and travel expenses shall be paid up to a maximum of eighteen (18) person-days per Group per round of negotiations.</w:t>
            </w:r>
          </w:p>
          <w:p w:rsidR="00000000" w:rsidDel="00000000" w:rsidP="00000000" w:rsidRDefault="00000000" w:rsidRPr="00000000" w14:paraId="00000017">
            <w:pPr>
              <w:spacing w:before="120" w:lineRule="auto"/>
              <w:rPr>
                <w:b w:val="1"/>
              </w:rPr>
            </w:pPr>
            <w:r w:rsidDel="00000000" w:rsidR="00000000" w:rsidRPr="00000000">
              <w:rPr>
                <w:b w:val="1"/>
                <w:rtl w:val="0"/>
              </w:rPr>
              <w:t xml:space="preserve">Negotiations </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Calibri" w:cs="Calibri" w:eastAsia="Calibri" w:hAnsi="Calibri"/>
                <w:color w:val="000000"/>
                <w:rtl w:val="0"/>
              </w:rPr>
              <w:t xml:space="preserve">Compensatory pay and travel expenses shall cover only members of the negotiating team.</w:t>
            </w:r>
            <w:r w:rsidDel="00000000" w:rsidR="00000000" w:rsidRPr="00000000">
              <w:rPr>
                <w:rtl w:val="0"/>
              </w:rPr>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Compensatory pay and travel expenses for members of the negotiating team shall apply to bargaining sessions and meetings related thereto, such as attendance at designation, arbitration and conciliation boards.</w:t>
            </w:r>
            <w:r w:rsidDel="00000000" w:rsidR="00000000" w:rsidRPr="00000000">
              <w:rPr>
                <w:rtl w:val="0"/>
              </w:rPr>
            </w:r>
          </w:p>
        </w:tc>
      </w:tr>
      <w:tr>
        <w:trPr>
          <w:cantSplit w:val="1"/>
          <w:tblHeader w:val="0"/>
        </w:trPr>
        <w:tc>
          <w:tcPr/>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Labour Dispute Actions</w:t>
            </w:r>
          </w:p>
        </w:tc>
        <w:tc>
          <w:tcPr>
            <w:shd w:fill="auto" w:val="clear"/>
          </w:tcPr>
          <w:p w:rsidR="00000000" w:rsidDel="00000000" w:rsidP="00000000" w:rsidRDefault="00000000" w:rsidRPr="00000000" w14:paraId="0000001B">
            <w:pPr>
              <w:spacing w:before="120" w:lineRule="auto"/>
              <w:rPr>
                <w:b w:val="1"/>
              </w:rPr>
            </w:pPr>
            <w:r w:rsidDel="00000000" w:rsidR="00000000" w:rsidRPr="00000000">
              <w:rPr>
                <w:b w:val="1"/>
                <w:rtl w:val="0"/>
              </w:rPr>
              <w:t xml:space="preserve">Strike Action</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Calibri" w:cs="Calibri" w:eastAsia="Calibri" w:hAnsi="Calibri"/>
                <w:color w:val="000000"/>
                <w:rtl w:val="0"/>
              </w:rPr>
              <w:t xml:space="preserve">In all cases where the Institute has bargaining units who are on the conciliation/strike path, an Institute Strike Committee shall be formed. </w:t>
            </w:r>
            <w:r w:rsidDel="00000000" w:rsidR="00000000" w:rsidRPr="00000000">
              <w:rPr>
                <w:rtl w:val="0"/>
              </w:rPr>
            </w:r>
          </w:p>
          <w:p w:rsidR="00000000" w:rsidDel="00000000" w:rsidP="00000000" w:rsidRDefault="00000000" w:rsidRPr="00000000" w14:paraId="0000001D">
            <w:pPr>
              <w:numPr>
                <w:ilvl w:val="1"/>
                <w:numId w:val="8"/>
              </w:numPr>
              <w:pBdr>
                <w:top w:space="0" w:sz="0" w:val="nil"/>
                <w:left w:space="0" w:sz="0" w:val="nil"/>
                <w:bottom w:space="0" w:sz="0" w:val="nil"/>
                <w:right w:space="0" w:sz="0" w:val="nil"/>
                <w:between w:space="0" w:sz="0" w:val="nil"/>
              </w:pBdr>
              <w:spacing w:line="276" w:lineRule="auto"/>
              <w:ind w:left="810" w:hanging="360"/>
              <w:rPr/>
            </w:pPr>
            <w:r w:rsidDel="00000000" w:rsidR="00000000" w:rsidRPr="00000000">
              <w:rPr>
                <w:rFonts w:ascii="Calibri" w:cs="Calibri" w:eastAsia="Calibri" w:hAnsi="Calibri"/>
                <w:color w:val="000000"/>
                <w:rtl w:val="0"/>
              </w:rPr>
              <w:t xml:space="preserve">The Institute Strike Committee shall include, as a minimum, the President of the Institute, the Director of Collective Bargaining and Compensation Services, the Director of Public Affairs and Corporate Communications, and the General Counsel. </w:t>
            </w:r>
            <w:r w:rsidDel="00000000" w:rsidR="00000000" w:rsidRPr="00000000">
              <w:rPr>
                <w:rFonts w:ascii="Calibri" w:cs="Calibri" w:eastAsia="Calibri" w:hAnsi="Calibri"/>
                <w:b w:val="1"/>
                <w:color w:val="000000"/>
                <w:rtl w:val="0"/>
              </w:rPr>
              <w:t xml:space="preserve">(BOD May 2025)</w:t>
            </w:r>
            <w:r w:rsidDel="00000000" w:rsidR="00000000" w:rsidRPr="00000000">
              <w:rPr>
                <w:rtl w:val="0"/>
              </w:rPr>
            </w:r>
          </w:p>
          <w:p w:rsidR="00000000" w:rsidDel="00000000" w:rsidP="00000000" w:rsidRDefault="00000000" w:rsidRPr="00000000" w14:paraId="0000001E">
            <w:pPr>
              <w:numPr>
                <w:ilvl w:val="1"/>
                <w:numId w:val="8"/>
              </w:numPr>
              <w:pBdr>
                <w:top w:space="0" w:sz="0" w:val="nil"/>
                <w:left w:space="0" w:sz="0" w:val="nil"/>
                <w:bottom w:space="0" w:sz="0" w:val="nil"/>
                <w:right w:space="0" w:sz="0" w:val="nil"/>
                <w:between w:space="0" w:sz="0" w:val="nil"/>
              </w:pBdr>
              <w:spacing w:line="276" w:lineRule="auto"/>
              <w:ind w:left="810" w:hanging="360"/>
              <w:rPr/>
            </w:pPr>
            <w:r w:rsidDel="00000000" w:rsidR="00000000" w:rsidRPr="00000000">
              <w:rPr>
                <w:rFonts w:ascii="Calibri" w:cs="Calibri" w:eastAsia="Calibri" w:hAnsi="Calibri"/>
                <w:color w:val="000000"/>
                <w:rtl w:val="0"/>
              </w:rPr>
              <w:t xml:space="preserve">Ad-hoc sub-committees may be convened for a bargaining unit(s) contemplating a strike action comprised of Institute staff and representatives of the particular Group as determined by the President of the Institute.  </w:t>
            </w:r>
            <w:r w:rsidDel="00000000" w:rsidR="00000000" w:rsidRPr="00000000">
              <w:rPr>
                <w:rFonts w:ascii="Calibri" w:cs="Calibri" w:eastAsia="Calibri" w:hAnsi="Calibri"/>
                <w:b w:val="1"/>
                <w:color w:val="000000"/>
                <w:rtl w:val="0"/>
              </w:rPr>
              <w:t xml:space="preserve">(BOD – November 2015)</w:t>
            </w: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The President has the sole authority to approve strike action, with the input from the Institute Strike Committee.  </w:t>
            </w:r>
            <w:r w:rsidDel="00000000" w:rsidR="00000000" w:rsidRPr="00000000">
              <w:rPr>
                <w:rFonts w:ascii="Calibri" w:cs="Calibri" w:eastAsia="Calibri" w:hAnsi="Calibri"/>
                <w:b w:val="1"/>
                <w:color w:val="000000"/>
                <w:rtl w:val="0"/>
              </w:rPr>
              <w:t xml:space="preserve">(BOD – November 2015)</w:t>
            </w:r>
            <w:r w:rsidDel="00000000" w:rsidR="00000000" w:rsidRPr="00000000">
              <w:rPr>
                <w:rtl w:val="0"/>
              </w:rPr>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The Institute Strike Committee, under the authority of the President, shall be solely responsible for the planning, organizing and conduct of a strike. </w:t>
            </w:r>
            <w:r w:rsidDel="00000000" w:rsidR="00000000" w:rsidRPr="00000000">
              <w:rPr>
                <w:rtl w:val="0"/>
              </w:rPr>
            </w:r>
          </w:p>
          <w:p w:rsidR="00000000" w:rsidDel="00000000" w:rsidP="00000000" w:rsidRDefault="00000000" w:rsidRPr="00000000" w14:paraId="00000021">
            <w:pPr>
              <w:numPr>
                <w:ilvl w:val="1"/>
                <w:numId w:val="8"/>
              </w:numPr>
              <w:pBdr>
                <w:top w:space="0" w:sz="0" w:val="nil"/>
                <w:left w:space="0" w:sz="0" w:val="nil"/>
                <w:bottom w:space="0" w:sz="0" w:val="nil"/>
                <w:right w:space="0" w:sz="0" w:val="nil"/>
                <w:between w:space="0" w:sz="0" w:val="nil"/>
              </w:pBdr>
              <w:spacing w:line="276" w:lineRule="auto"/>
              <w:ind w:left="810" w:hanging="360"/>
              <w:rPr/>
            </w:pPr>
            <w:r w:rsidDel="00000000" w:rsidR="00000000" w:rsidRPr="00000000">
              <w:rPr>
                <w:rFonts w:ascii="Calibri" w:cs="Calibri" w:eastAsia="Calibri" w:hAnsi="Calibri"/>
                <w:color w:val="000000"/>
                <w:rtl w:val="0"/>
              </w:rPr>
              <w:t xml:space="preserve">Procedures to be followed during a strike shall be in accordance with the Institute Strike Manual.</w:t>
            </w:r>
            <w:r w:rsidDel="00000000" w:rsidR="00000000" w:rsidRPr="00000000">
              <w:rPr>
                <w:rtl w:val="0"/>
              </w:rPr>
            </w:r>
          </w:p>
          <w:p w:rsidR="00000000" w:rsidDel="00000000" w:rsidP="00000000" w:rsidRDefault="00000000" w:rsidRPr="00000000" w14:paraId="00000022">
            <w:pPr>
              <w:numPr>
                <w:ilvl w:val="1"/>
                <w:numId w:val="8"/>
              </w:numPr>
              <w:pBdr>
                <w:top w:space="0" w:sz="0" w:val="nil"/>
                <w:left w:space="0" w:sz="0" w:val="nil"/>
                <w:bottom w:space="0" w:sz="0" w:val="nil"/>
                <w:right w:space="0" w:sz="0" w:val="nil"/>
                <w:between w:space="0" w:sz="0" w:val="nil"/>
              </w:pBdr>
              <w:spacing w:after="200" w:line="276" w:lineRule="auto"/>
              <w:ind w:left="810" w:hanging="360"/>
              <w:rPr/>
            </w:pPr>
            <w:r w:rsidDel="00000000" w:rsidR="00000000" w:rsidRPr="00000000">
              <w:rPr>
                <w:rFonts w:ascii="Calibri" w:cs="Calibri" w:eastAsia="Calibri" w:hAnsi="Calibri"/>
                <w:color w:val="000000"/>
                <w:rtl w:val="0"/>
              </w:rPr>
              <w:t xml:space="preserve">Members of bargaining units which are preparing for a strike or initiating strike action shall be guided by the Institute Strike Committee.</w:t>
            </w:r>
            <w:r w:rsidDel="00000000" w:rsidR="00000000" w:rsidRPr="00000000">
              <w:rPr>
                <w:rtl w:val="0"/>
              </w:rPr>
            </w:r>
          </w:p>
          <w:p w:rsidR="00000000" w:rsidDel="00000000" w:rsidP="00000000" w:rsidRDefault="00000000" w:rsidRPr="00000000" w14:paraId="00000023">
            <w:pPr>
              <w:spacing w:before="120" w:lineRule="auto"/>
              <w:rPr/>
            </w:pPr>
            <w:r w:rsidDel="00000000" w:rsidR="00000000" w:rsidRPr="00000000">
              <w:rPr>
                <w:b w:val="1"/>
                <w:rtl w:val="0"/>
              </w:rPr>
              <w:t xml:space="preserve">Lock-Out or Temporary Lack of Work Actions</w:t>
            </w:r>
            <w:r w:rsidDel="00000000" w:rsidR="00000000" w:rsidRPr="00000000">
              <w:rPr>
                <w:rtl w:val="0"/>
              </w:rPr>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spacing w:after="200" w:before="120" w:line="276" w:lineRule="auto"/>
              <w:ind w:left="360" w:hanging="360"/>
              <w:rPr/>
            </w:pPr>
            <w:r w:rsidDel="00000000" w:rsidR="00000000" w:rsidRPr="00000000">
              <w:rPr>
                <w:rFonts w:ascii="Calibri" w:cs="Calibri" w:eastAsia="Calibri" w:hAnsi="Calibri"/>
                <w:color w:val="000000"/>
                <w:rtl w:val="0"/>
              </w:rPr>
              <w:t xml:space="preserve">In all cases where an employer is in a legal position to lock out members of a bargaining unit(s), strike action provisions shall apply.</w:t>
            </w:r>
            <w:r w:rsidDel="00000000" w:rsidR="00000000" w:rsidRPr="00000000">
              <w:rPr>
                <w:rtl w:val="0"/>
              </w:rPr>
            </w:r>
          </w:p>
          <w:p w:rsidR="00000000" w:rsidDel="00000000" w:rsidP="00000000" w:rsidRDefault="00000000" w:rsidRPr="00000000" w14:paraId="00000025">
            <w:pPr>
              <w:spacing w:before="120" w:lineRule="auto"/>
              <w:rPr>
                <w:b w:val="1"/>
              </w:rPr>
            </w:pPr>
            <w:r w:rsidDel="00000000" w:rsidR="00000000" w:rsidRPr="00000000">
              <w:rPr>
                <w:b w:val="1"/>
                <w:rtl w:val="0"/>
              </w:rPr>
              <w:t xml:space="preserve">Labour Dispute Action Taken by Other Bargaining Units or Agents</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Calibri" w:cs="Calibri" w:eastAsia="Calibri" w:hAnsi="Calibri"/>
                <w:color w:val="000000"/>
                <w:rtl w:val="0"/>
              </w:rPr>
              <w:t xml:space="preserve">If members are prevented from performing their duties because of a strike or lock-out by other bargaining units or agents on the employer's premises, the Institute shall make every effort to ensure that the pay and benefits of its members are not affected.</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The Institute shall undertake the necessary steps to protect any member from threats of suspension and/or disciplinary action by the employer if any member chooses not to cross the picket line of other bargaining units or agents on the employer's premises.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A request for support of a legal strike action from any other bargaining agent shall be considered on its own merits by the Institute.</w:t>
            </w:r>
            <w:r w:rsidDel="00000000" w:rsidR="00000000" w:rsidRPr="00000000">
              <w:rPr>
                <w:rtl w:val="0"/>
              </w:rPr>
            </w:r>
          </w:p>
        </w:tc>
      </w:tr>
      <w:tr>
        <w:trPr>
          <w:cantSplit w:val="1"/>
          <w:tblHeader w:val="0"/>
        </w:trPr>
        <w:tc>
          <w:tcPr/>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Professional Institute Strike Fund</w:t>
            </w:r>
          </w:p>
        </w:tc>
        <w:tc>
          <w:tcPr/>
          <w:p w:rsidR="00000000" w:rsidDel="00000000" w:rsidP="00000000" w:rsidRDefault="00000000" w:rsidRPr="00000000" w14:paraId="0000002A">
            <w:pPr>
              <w:spacing w:before="120" w:lineRule="auto"/>
              <w:rPr>
                <w:b w:val="1"/>
              </w:rPr>
            </w:pPr>
            <w:r w:rsidDel="00000000" w:rsidR="00000000" w:rsidRPr="00000000">
              <w:rPr>
                <w:b w:val="1"/>
                <w:rtl w:val="0"/>
              </w:rPr>
              <w:t xml:space="preserve">1. Management of the Fund</w:t>
            </w:r>
          </w:p>
          <w:p w:rsidR="00000000" w:rsidDel="00000000" w:rsidP="00000000" w:rsidRDefault="00000000" w:rsidRPr="00000000" w14:paraId="0000002B">
            <w:pPr>
              <w:spacing w:before="120" w:lineRule="auto"/>
              <w:rPr/>
            </w:pPr>
            <w:r w:rsidDel="00000000" w:rsidR="00000000" w:rsidRPr="00000000">
              <w:rPr>
                <w:rtl w:val="0"/>
              </w:rPr>
              <w:t xml:space="preserve">The Institute shall determine appropriate administrative practices to ensure the sound management of the Fund for the benefit of all Regular members who participate in strike activities. Strike activities include, but are not limited to, preparing picket signs, organizing strike activities, augmenting Institute staff, meetings related to strike planning, communications and other activities as authorized by the Strike Committee.</w:t>
            </w:r>
          </w:p>
          <w:p w:rsidR="00000000" w:rsidDel="00000000" w:rsidP="00000000" w:rsidRDefault="00000000" w:rsidRPr="00000000" w14:paraId="0000002C">
            <w:pPr>
              <w:spacing w:before="120" w:lineRule="auto"/>
              <w:rPr>
                <w:b w:val="1"/>
              </w:rPr>
            </w:pPr>
            <w:r w:rsidDel="00000000" w:rsidR="00000000" w:rsidRPr="00000000">
              <w:rPr>
                <w:b w:val="1"/>
                <w:rtl w:val="0"/>
              </w:rPr>
              <w:t xml:space="preserve">2. Fund Financing</w:t>
            </w:r>
          </w:p>
          <w:p w:rsidR="00000000" w:rsidDel="00000000" w:rsidP="00000000" w:rsidRDefault="00000000" w:rsidRPr="00000000" w14:paraId="0000002D">
            <w:pPr>
              <w:spacing w:before="120" w:lineRule="auto"/>
              <w:rPr/>
            </w:pPr>
            <w:r w:rsidDel="00000000" w:rsidR="00000000" w:rsidRPr="00000000">
              <w:rPr>
                <w:rtl w:val="0"/>
              </w:rPr>
              <w:t xml:space="preserve">The Strike Fund shall be financed by:</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An amount per member per month, such amount to form part of the basic monthly membership fee, as determined by the Annual General Meeting.</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Unless otherwise determined by the Annual General Meeting, all interest earned by the Institute that is attributable to the Strike Fund shall be directly accrued to the Strike Fund.</w:t>
            </w:r>
            <w:r w:rsidDel="00000000" w:rsidR="00000000" w:rsidRPr="00000000">
              <w:rPr>
                <w:rtl w:val="0"/>
              </w:rPr>
            </w:r>
          </w:p>
          <w:p w:rsidR="00000000" w:rsidDel="00000000" w:rsidP="00000000" w:rsidRDefault="00000000" w:rsidRPr="00000000" w14:paraId="00000030">
            <w:pPr>
              <w:spacing w:before="120" w:lineRule="auto"/>
              <w:rPr>
                <w:b w:val="1"/>
              </w:rPr>
            </w:pPr>
            <w:r w:rsidDel="00000000" w:rsidR="00000000" w:rsidRPr="00000000">
              <w:rPr>
                <w:b w:val="1"/>
                <w:rtl w:val="0"/>
              </w:rPr>
              <w:t xml:space="preserve">3. Disbursement of Fund</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before="120" w:line="276" w:lineRule="auto"/>
              <w:ind w:left="360" w:hanging="360"/>
              <w:rPr/>
            </w:pPr>
            <w:r w:rsidDel="00000000" w:rsidR="00000000" w:rsidRPr="00000000">
              <w:rPr>
                <w:rFonts w:ascii="Calibri" w:cs="Calibri" w:eastAsia="Calibri" w:hAnsi="Calibri"/>
                <w:color w:val="000000"/>
                <w:rtl w:val="0"/>
              </w:rPr>
              <w:t xml:space="preserve">Each Regular member, whether a full-time or part-time employee, who suffers loss of pay arising solely from participation in legal and authorized strike activities, whether it be for a full day or a part day, shall be compensated at the rate of $50.00 per day of pay lost. Picket line activity is required to be eligible for strike pay.</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276" w:lineRule="auto"/>
              <w:ind w:left="360" w:hanging="360"/>
              <w:rPr/>
            </w:pPr>
            <w:r w:rsidDel="00000000" w:rsidR="00000000" w:rsidRPr="00000000">
              <w:rPr>
                <w:rFonts w:ascii="Calibri" w:cs="Calibri" w:eastAsia="Calibri" w:hAnsi="Calibri"/>
                <w:color w:val="000000"/>
                <w:rtl w:val="0"/>
              </w:rPr>
              <w:t xml:space="preserve">Strike activities, for example, rotating or sporadic strike activity, requiring the participation of not more than 10% of the members in the bargaining unit, may be funded on the following basis: </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Fonts w:ascii="Calibri" w:cs="Calibri" w:eastAsia="Calibri" w:hAnsi="Calibri"/>
                <w:color w:val="000000"/>
                <w:rtl w:val="0"/>
              </w:rPr>
              <w:t xml:space="preserve">Size of Group membership determined as of December 31 of the preceding year;</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Fonts w:ascii="Calibri" w:cs="Calibri" w:eastAsia="Calibri" w:hAnsi="Calibri"/>
                <w:color w:val="000000"/>
                <w:rtl w:val="0"/>
              </w:rPr>
              <w:t xml:space="preserve">Groups with up to 200 members - $15,000;</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Fonts w:ascii="Calibri" w:cs="Calibri" w:eastAsia="Calibri" w:hAnsi="Calibri"/>
                <w:color w:val="000000"/>
                <w:rtl w:val="0"/>
              </w:rPr>
              <w:t xml:space="preserve">Groups with 201 members or more - $80.00 per member per Group;</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line="276" w:lineRule="auto"/>
              <w:ind w:left="1440" w:hanging="360"/>
              <w:rPr/>
            </w:pPr>
            <w:r w:rsidDel="00000000" w:rsidR="00000000" w:rsidRPr="00000000">
              <w:rPr>
                <w:rFonts w:ascii="Calibri" w:cs="Calibri" w:eastAsia="Calibri" w:hAnsi="Calibri"/>
                <w:color w:val="000000"/>
                <w:rtl w:val="0"/>
              </w:rPr>
              <w:t xml:space="preserve">Additional entitlements to be determined at the discretion of the Board of Directors.</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200" w:line="276" w:lineRule="auto"/>
              <w:ind w:left="360" w:hanging="360"/>
              <w:rPr/>
            </w:pPr>
            <w:r w:rsidDel="00000000" w:rsidR="00000000" w:rsidRPr="00000000">
              <w:rPr>
                <w:rFonts w:ascii="Calibri" w:cs="Calibri" w:eastAsia="Calibri" w:hAnsi="Calibri"/>
                <w:color w:val="000000"/>
                <w:rtl w:val="0"/>
              </w:rPr>
              <w:t xml:space="preserve">If funds are advanced, the unused funds shall be returned to the Strike Fund within ninety (90) days of the cessation of legal strike activities, accompanied by appropriate accounting of disbursements.</w:t>
            </w:r>
            <w:r w:rsidDel="00000000" w:rsidR="00000000" w:rsidRPr="00000000">
              <w:rPr>
                <w:rtl w:val="0"/>
              </w:rPr>
            </w:r>
          </w:p>
          <w:p w:rsidR="00000000" w:rsidDel="00000000" w:rsidP="00000000" w:rsidRDefault="00000000" w:rsidRPr="00000000" w14:paraId="00000038">
            <w:pPr>
              <w:spacing w:before="120" w:lineRule="auto"/>
              <w:rPr>
                <w:b w:val="1"/>
              </w:rPr>
            </w:pPr>
            <w:r w:rsidDel="00000000" w:rsidR="00000000" w:rsidRPr="00000000">
              <w:rPr>
                <w:b w:val="1"/>
                <w:rtl w:val="0"/>
              </w:rPr>
              <w:t xml:space="preserve">4. Claims</w:t>
            </w:r>
          </w:p>
          <w:p w:rsidR="00000000" w:rsidDel="00000000" w:rsidP="00000000" w:rsidRDefault="00000000" w:rsidRPr="00000000" w14:paraId="00000039">
            <w:pPr>
              <w:spacing w:before="120" w:lineRule="auto"/>
              <w:rPr/>
            </w:pPr>
            <w:r w:rsidDel="00000000" w:rsidR="00000000" w:rsidRPr="00000000">
              <w:rPr>
                <w:rtl w:val="0"/>
              </w:rPr>
              <w:t xml:space="preserve">Strike pay shall be paid only to those members who participate in authorized and legal strike activities as determined by the Strike Committee.</w:t>
            </w:r>
          </w:p>
          <w:p w:rsidR="00000000" w:rsidDel="00000000" w:rsidP="00000000" w:rsidRDefault="00000000" w:rsidRPr="00000000" w14:paraId="0000003A">
            <w:pPr>
              <w:spacing w:before="120" w:lineRule="auto"/>
              <w:rPr/>
            </w:pPr>
            <w:r w:rsidDel="00000000" w:rsidR="00000000" w:rsidRPr="00000000">
              <w:rPr>
                <w:rtl w:val="0"/>
              </w:rPr>
              <w:t xml:space="preserve">Claims for strike pay, substantiated by the pay stub and a claim form signed by the Strike Captain must be submitted within ninety (90) days upon receipt of a pay stub that indicates a loss of pay due to strike activity.</w:t>
            </w:r>
          </w:p>
        </w:tc>
      </w:tr>
      <w:tr>
        <w:trPr>
          <w:cantSplit w:val="1"/>
          <w:tblHeader w:val="0"/>
        </w:trPr>
        <w:tc>
          <w:tcPr/>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tc>
        <w:tc>
          <w:tcPr/>
          <w:p w:rsidR="00000000" w:rsidDel="00000000" w:rsidP="00000000" w:rsidRDefault="00000000" w:rsidRPr="00000000" w14:paraId="0000003C">
            <w:pPr>
              <w:spacing w:before="120" w:lineRule="auto"/>
              <w:rPr/>
            </w:pPr>
            <w:r w:rsidDel="00000000" w:rsidR="00000000" w:rsidRPr="00000000">
              <w:rPr>
                <w:rtl w:val="0"/>
              </w:rPr>
            </w:r>
          </w:p>
        </w:tc>
      </w:tr>
    </w:tbl>
    <w:p w:rsidR="00000000" w:rsidDel="00000000" w:rsidP="00000000" w:rsidRDefault="00000000" w:rsidRPr="00000000" w14:paraId="0000003D">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72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72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72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72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rPr>
  </w:style>
  <w:style w:type="character" w:styleId="CommentReference">
    <w:name w:val="annotation reference"/>
    <w:basedOn w:val="DefaultParagraphFont"/>
    <w:uiPriority w:val="99"/>
    <w:semiHidden w:val="1"/>
    <w:unhideWhenUsed w:val="1"/>
    <w:rsid w:val="00E8690F"/>
    <w:rPr>
      <w:sz w:val="16"/>
      <w:szCs w:val="16"/>
    </w:rPr>
  </w:style>
  <w:style w:type="paragraph" w:styleId="CommentText">
    <w:name w:val="annotation text"/>
    <w:basedOn w:val="Normal"/>
    <w:link w:val="CommentTextChar"/>
    <w:uiPriority w:val="99"/>
    <w:semiHidden w:val="1"/>
    <w:unhideWhenUsed w:val="1"/>
    <w:rsid w:val="00E8690F"/>
    <w:pPr>
      <w:spacing w:line="240" w:lineRule="auto"/>
    </w:pPr>
    <w:rPr>
      <w:sz w:val="20"/>
      <w:szCs w:val="20"/>
    </w:rPr>
  </w:style>
  <w:style w:type="character" w:styleId="CommentTextChar" w:customStyle="1">
    <w:name w:val="Comment Text Char"/>
    <w:basedOn w:val="DefaultParagraphFont"/>
    <w:link w:val="CommentText"/>
    <w:uiPriority w:val="99"/>
    <w:semiHidden w:val="1"/>
    <w:rsid w:val="00E8690F"/>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E8690F"/>
    <w:rPr>
      <w:b w:val="1"/>
      <w:bCs w:val="1"/>
    </w:rPr>
  </w:style>
  <w:style w:type="character" w:styleId="CommentSubjectChar" w:customStyle="1">
    <w:name w:val="Comment Subject Char"/>
    <w:basedOn w:val="CommentTextChar"/>
    <w:link w:val="CommentSubject"/>
    <w:uiPriority w:val="99"/>
    <w:semiHidden w:val="1"/>
    <w:rsid w:val="00E8690F"/>
    <w:rPr>
      <w:rFonts w:asciiTheme="minorHAnsi" w:hAnsiTheme="minorHAnsi"/>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table" w:styleId="a0"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tEQ6XMXlWri/E6wfCPiBVzvCA==">CgMxLjAyCGguZ2pkZ3hzMgloLjMwajB6bGw4AHIhMTRCcDZOOUtIdE4ybmNEMmNwRnJHR0dZTXA2TnNqVTd5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2023-04-04T18:34:00Z</dcterms:created>
  <dc:creator>Cindy Boyer</dc:creator>
</cp:coreProperties>
</file>