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0F723" w14:textId="77777777" w:rsidR="00B326B6" w:rsidRDefault="00000000">
      <w:pPr>
        <w:spacing w:before="240" w:after="120"/>
        <w:jc w:val="center"/>
        <w:rPr>
          <w:b/>
          <w:sz w:val="28"/>
          <w:szCs w:val="28"/>
        </w:rPr>
      </w:pPr>
      <w:r>
        <w:rPr>
          <w:b/>
          <w:sz w:val="28"/>
          <w:szCs w:val="28"/>
        </w:rPr>
        <w:t>Policy on Representational Services</w:t>
      </w:r>
    </w:p>
    <w:p w14:paraId="3B85EA2F" w14:textId="62016728" w:rsidR="00B326B6" w:rsidRDefault="00000000">
      <w:pPr>
        <w:spacing w:before="240" w:after="240"/>
        <w:jc w:val="center"/>
        <w:rPr>
          <w:b/>
          <w:sz w:val="24"/>
          <w:szCs w:val="24"/>
        </w:rPr>
      </w:pPr>
      <w:r>
        <w:rPr>
          <w:b/>
          <w:sz w:val="24"/>
          <w:szCs w:val="24"/>
        </w:rPr>
        <w:t xml:space="preserve">Effective Date: </w:t>
      </w:r>
      <w:r w:rsidR="00FE5016">
        <w:rPr>
          <w:b/>
          <w:sz w:val="24"/>
          <w:szCs w:val="24"/>
        </w:rPr>
        <w:t>23 August 2023</w:t>
      </w: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2656"/>
        <w:gridCol w:w="6704"/>
      </w:tblGrid>
      <w:tr w:rsidR="00B326B6" w14:paraId="7721EA9B" w14:textId="77777777">
        <w:trPr>
          <w:trHeight w:val="910"/>
        </w:trPr>
        <w:tc>
          <w:tcPr>
            <w:tcW w:w="2656" w:type="dxa"/>
            <w:tcBorders>
              <w:top w:val="single" w:sz="8" w:space="0" w:color="000000"/>
              <w:left w:val="nil"/>
              <w:bottom w:val="single" w:sz="8" w:space="0" w:color="000000"/>
              <w:right w:val="nil"/>
            </w:tcBorders>
            <w:tcMar>
              <w:top w:w="100" w:type="dxa"/>
              <w:left w:w="100" w:type="dxa"/>
              <w:bottom w:w="100" w:type="dxa"/>
              <w:right w:w="100" w:type="dxa"/>
            </w:tcMar>
          </w:tcPr>
          <w:p w14:paraId="1B75D934" w14:textId="77777777" w:rsidR="00B326B6" w:rsidRDefault="00000000">
            <w:pPr>
              <w:spacing w:before="120"/>
              <w:ind w:left="360"/>
              <w:rPr>
                <w:b/>
                <w:sz w:val="24"/>
                <w:szCs w:val="24"/>
              </w:rPr>
            </w:pPr>
            <w:r>
              <w:rPr>
                <w:b/>
                <w:sz w:val="24"/>
                <w:szCs w:val="24"/>
              </w:rPr>
              <w:t>1.</w:t>
            </w:r>
            <w:r>
              <w:rPr>
                <w:sz w:val="14"/>
                <w:szCs w:val="14"/>
              </w:rPr>
              <w:t xml:space="preserve">      </w:t>
            </w:r>
            <w:r>
              <w:rPr>
                <w:b/>
                <w:sz w:val="24"/>
                <w:szCs w:val="24"/>
              </w:rPr>
              <w:t>Purpose and Scope</w:t>
            </w:r>
          </w:p>
        </w:tc>
        <w:tc>
          <w:tcPr>
            <w:tcW w:w="6704" w:type="dxa"/>
            <w:tcBorders>
              <w:top w:val="single" w:sz="8" w:space="0" w:color="000000"/>
              <w:left w:val="nil"/>
              <w:bottom w:val="single" w:sz="8" w:space="0" w:color="000000"/>
              <w:right w:val="nil"/>
            </w:tcBorders>
            <w:tcMar>
              <w:top w:w="100" w:type="dxa"/>
              <w:left w:w="100" w:type="dxa"/>
              <w:bottom w:w="100" w:type="dxa"/>
              <w:right w:w="100" w:type="dxa"/>
            </w:tcMar>
          </w:tcPr>
          <w:p w14:paraId="131A6859" w14:textId="77777777" w:rsidR="00B326B6" w:rsidRDefault="00000000">
            <w:pPr>
              <w:spacing w:before="120"/>
              <w:rPr>
                <w:sz w:val="24"/>
                <w:szCs w:val="24"/>
              </w:rPr>
            </w:pPr>
            <w:r>
              <w:rPr>
                <w:sz w:val="24"/>
                <w:szCs w:val="24"/>
              </w:rPr>
              <w:t>The objective of this policy is to provide direction on matters of representation of members.</w:t>
            </w:r>
          </w:p>
        </w:tc>
      </w:tr>
      <w:tr w:rsidR="00B326B6" w14:paraId="07FAA299" w14:textId="77777777">
        <w:trPr>
          <w:trHeight w:val="2170"/>
        </w:trPr>
        <w:tc>
          <w:tcPr>
            <w:tcW w:w="2656" w:type="dxa"/>
            <w:tcBorders>
              <w:top w:val="nil"/>
              <w:left w:val="nil"/>
              <w:bottom w:val="single" w:sz="8" w:space="0" w:color="000000"/>
              <w:right w:val="nil"/>
            </w:tcBorders>
            <w:tcMar>
              <w:top w:w="100" w:type="dxa"/>
              <w:left w:w="100" w:type="dxa"/>
              <w:bottom w:w="100" w:type="dxa"/>
              <w:right w:w="100" w:type="dxa"/>
            </w:tcMar>
          </w:tcPr>
          <w:p w14:paraId="6B323910" w14:textId="77777777" w:rsidR="00B326B6" w:rsidRDefault="00000000">
            <w:pPr>
              <w:spacing w:before="120"/>
              <w:ind w:left="360"/>
              <w:rPr>
                <w:b/>
                <w:sz w:val="24"/>
                <w:szCs w:val="24"/>
              </w:rPr>
            </w:pPr>
            <w:r>
              <w:rPr>
                <w:b/>
                <w:sz w:val="24"/>
                <w:szCs w:val="24"/>
              </w:rPr>
              <w:t>2.</w:t>
            </w:r>
            <w:r>
              <w:rPr>
                <w:sz w:val="14"/>
                <w:szCs w:val="14"/>
              </w:rPr>
              <w:t xml:space="preserve">      </w:t>
            </w:r>
            <w:r>
              <w:rPr>
                <w:b/>
                <w:sz w:val="24"/>
                <w:szCs w:val="24"/>
              </w:rPr>
              <w:t>Representation by Institute Staff</w:t>
            </w:r>
          </w:p>
        </w:tc>
        <w:tc>
          <w:tcPr>
            <w:tcW w:w="6704" w:type="dxa"/>
            <w:tcBorders>
              <w:top w:val="nil"/>
              <w:left w:val="nil"/>
              <w:bottom w:val="single" w:sz="8" w:space="0" w:color="000000"/>
              <w:right w:val="nil"/>
            </w:tcBorders>
            <w:tcMar>
              <w:top w:w="100" w:type="dxa"/>
              <w:left w:w="100" w:type="dxa"/>
              <w:bottom w:w="100" w:type="dxa"/>
              <w:right w:w="100" w:type="dxa"/>
            </w:tcMar>
          </w:tcPr>
          <w:p w14:paraId="00C4054A" w14:textId="77777777" w:rsidR="00B326B6" w:rsidRDefault="00000000">
            <w:pPr>
              <w:spacing w:before="120"/>
              <w:rPr>
                <w:sz w:val="24"/>
                <w:szCs w:val="24"/>
              </w:rPr>
            </w:pPr>
            <w:r>
              <w:rPr>
                <w:sz w:val="24"/>
                <w:szCs w:val="24"/>
              </w:rPr>
              <w:t>The primary responsibility for the representation of members rests with Institute staff, assisted by stewards in the manner set out in the Institute’s By-Laws and Policies.</w:t>
            </w:r>
          </w:p>
          <w:p w14:paraId="7B0B9FB3" w14:textId="77777777" w:rsidR="00B326B6" w:rsidRDefault="00000000">
            <w:pPr>
              <w:spacing w:before="120"/>
              <w:rPr>
                <w:sz w:val="24"/>
                <w:szCs w:val="24"/>
              </w:rPr>
            </w:pPr>
            <w:r>
              <w:rPr>
                <w:sz w:val="24"/>
                <w:szCs w:val="24"/>
              </w:rPr>
              <w:t>Representation before administrative boards and tribunals shall be provided by Institute staff or, at the Institute’s discretion, legal counsel retained and instructed by the Office of the General Counsel.</w:t>
            </w:r>
          </w:p>
        </w:tc>
      </w:tr>
      <w:tr w:rsidR="00B326B6" w14:paraId="509CA75F" w14:textId="77777777">
        <w:trPr>
          <w:trHeight w:val="1480"/>
        </w:trPr>
        <w:tc>
          <w:tcPr>
            <w:tcW w:w="2656" w:type="dxa"/>
            <w:tcBorders>
              <w:top w:val="nil"/>
              <w:left w:val="nil"/>
              <w:bottom w:val="single" w:sz="8" w:space="0" w:color="000000"/>
              <w:right w:val="nil"/>
            </w:tcBorders>
            <w:tcMar>
              <w:top w:w="100" w:type="dxa"/>
              <w:left w:w="100" w:type="dxa"/>
              <w:bottom w:w="100" w:type="dxa"/>
              <w:right w:w="100" w:type="dxa"/>
            </w:tcMar>
          </w:tcPr>
          <w:p w14:paraId="353C7D4E" w14:textId="77777777" w:rsidR="00B326B6" w:rsidRDefault="00000000">
            <w:pPr>
              <w:spacing w:before="120"/>
              <w:ind w:left="360"/>
              <w:rPr>
                <w:b/>
                <w:sz w:val="24"/>
                <w:szCs w:val="24"/>
              </w:rPr>
            </w:pPr>
            <w:r>
              <w:rPr>
                <w:b/>
                <w:sz w:val="24"/>
                <w:szCs w:val="24"/>
              </w:rPr>
              <w:t>3.</w:t>
            </w:r>
            <w:r>
              <w:rPr>
                <w:sz w:val="14"/>
                <w:szCs w:val="14"/>
              </w:rPr>
              <w:t xml:space="preserve">      </w:t>
            </w:r>
            <w:r>
              <w:rPr>
                <w:b/>
                <w:sz w:val="24"/>
                <w:szCs w:val="24"/>
              </w:rPr>
              <w:t>Eligibility for Representation</w:t>
            </w:r>
          </w:p>
        </w:tc>
        <w:tc>
          <w:tcPr>
            <w:tcW w:w="6704" w:type="dxa"/>
            <w:tcBorders>
              <w:top w:val="nil"/>
              <w:left w:val="nil"/>
              <w:bottom w:val="single" w:sz="8" w:space="0" w:color="000000"/>
              <w:right w:val="nil"/>
            </w:tcBorders>
            <w:tcMar>
              <w:top w:w="100" w:type="dxa"/>
              <w:left w:w="100" w:type="dxa"/>
              <w:bottom w:w="100" w:type="dxa"/>
              <w:right w:w="100" w:type="dxa"/>
            </w:tcMar>
          </w:tcPr>
          <w:p w14:paraId="6C9FFC3D" w14:textId="77777777" w:rsidR="00B326B6" w:rsidRDefault="00000000">
            <w:pPr>
              <w:spacing w:before="120"/>
              <w:rPr>
                <w:sz w:val="24"/>
                <w:szCs w:val="24"/>
              </w:rPr>
            </w:pPr>
            <w:r>
              <w:rPr>
                <w:sz w:val="24"/>
                <w:szCs w:val="24"/>
              </w:rPr>
              <w:t>Members who want to contest a decision or action of the employer affecting them directly may be represented by the Institute upon request and subject to consideration of the merits and circumstances of each case and the limitations set out below.</w:t>
            </w:r>
          </w:p>
        </w:tc>
      </w:tr>
      <w:tr w:rsidR="00B326B6" w14:paraId="3073096B" w14:textId="77777777">
        <w:trPr>
          <w:trHeight w:val="6325"/>
        </w:trPr>
        <w:tc>
          <w:tcPr>
            <w:tcW w:w="2656" w:type="dxa"/>
            <w:tcBorders>
              <w:top w:val="nil"/>
              <w:left w:val="nil"/>
              <w:bottom w:val="single" w:sz="8" w:space="0" w:color="000000"/>
              <w:right w:val="nil"/>
            </w:tcBorders>
            <w:tcMar>
              <w:top w:w="100" w:type="dxa"/>
              <w:left w:w="100" w:type="dxa"/>
              <w:bottom w:w="100" w:type="dxa"/>
              <w:right w:w="100" w:type="dxa"/>
            </w:tcMar>
          </w:tcPr>
          <w:p w14:paraId="24CDC10E" w14:textId="77777777" w:rsidR="00B326B6" w:rsidRDefault="00000000">
            <w:pPr>
              <w:spacing w:before="120"/>
              <w:ind w:left="360"/>
              <w:rPr>
                <w:b/>
                <w:sz w:val="24"/>
                <w:szCs w:val="24"/>
              </w:rPr>
            </w:pPr>
            <w:r>
              <w:rPr>
                <w:b/>
                <w:sz w:val="24"/>
                <w:szCs w:val="24"/>
              </w:rPr>
              <w:lastRenderedPageBreak/>
              <w:t>4.</w:t>
            </w:r>
            <w:r>
              <w:rPr>
                <w:sz w:val="14"/>
                <w:szCs w:val="14"/>
              </w:rPr>
              <w:t xml:space="preserve">      </w:t>
            </w:r>
            <w:r>
              <w:rPr>
                <w:b/>
                <w:sz w:val="24"/>
                <w:szCs w:val="24"/>
              </w:rPr>
              <w:t>Matters Not Eligible for Representation</w:t>
            </w:r>
          </w:p>
        </w:tc>
        <w:tc>
          <w:tcPr>
            <w:tcW w:w="6704" w:type="dxa"/>
            <w:tcBorders>
              <w:top w:val="nil"/>
              <w:left w:val="nil"/>
              <w:bottom w:val="single" w:sz="8" w:space="0" w:color="000000"/>
              <w:right w:val="nil"/>
            </w:tcBorders>
            <w:tcMar>
              <w:top w:w="100" w:type="dxa"/>
              <w:left w:w="100" w:type="dxa"/>
              <w:bottom w:w="100" w:type="dxa"/>
              <w:right w:w="100" w:type="dxa"/>
            </w:tcMar>
          </w:tcPr>
          <w:p w14:paraId="0473EBE3" w14:textId="77777777" w:rsidR="00B326B6" w:rsidRDefault="00000000">
            <w:pPr>
              <w:spacing w:before="120"/>
              <w:rPr>
                <w:sz w:val="24"/>
                <w:szCs w:val="24"/>
              </w:rPr>
            </w:pPr>
            <w:r>
              <w:rPr>
                <w:sz w:val="24"/>
                <w:szCs w:val="24"/>
              </w:rPr>
              <w:t>The Institute will not engage in the representation of its members in any civil or criminal litigation.</w:t>
            </w:r>
          </w:p>
          <w:p w14:paraId="6E2D26F9" w14:textId="77777777" w:rsidR="00B326B6" w:rsidRDefault="00000000">
            <w:pPr>
              <w:spacing w:before="120"/>
              <w:rPr>
                <w:sz w:val="24"/>
                <w:szCs w:val="24"/>
              </w:rPr>
            </w:pPr>
            <w:r>
              <w:rPr>
                <w:sz w:val="24"/>
                <w:szCs w:val="24"/>
              </w:rPr>
              <w:t>The Institute will not engage in the representation of its members in relation to any matters that do not arise out the application or interpretation of the collective agreement, Employer policies, staffing actions or workplace safety and insurance matters.</w:t>
            </w:r>
          </w:p>
          <w:p w14:paraId="553D118C" w14:textId="77777777" w:rsidR="00B326B6" w:rsidRDefault="00000000">
            <w:pPr>
              <w:spacing w:before="120"/>
              <w:ind w:left="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 xml:space="preserve">For greater clarity, matters for which the Institute will not provide representation include, but are not limited </w:t>
            </w:r>
            <w:proofErr w:type="gramStart"/>
            <w:r>
              <w:rPr>
                <w:sz w:val="24"/>
                <w:szCs w:val="24"/>
              </w:rPr>
              <w:t>to:</w:t>
            </w:r>
            <w:proofErr w:type="gramEnd"/>
            <w:r>
              <w:rPr>
                <w:sz w:val="24"/>
                <w:szCs w:val="24"/>
              </w:rPr>
              <w:t xml:space="preserve"> employment insurance matters, matters before professional licensing/regulating bodies.</w:t>
            </w:r>
          </w:p>
          <w:p w14:paraId="22D701B3" w14:textId="77777777" w:rsidR="00B326B6" w:rsidRDefault="00000000">
            <w:pPr>
              <w:spacing w:before="120"/>
              <w:ind w:left="360"/>
              <w:rPr>
                <w:sz w:val="24"/>
                <w:szCs w:val="24"/>
              </w:rPr>
            </w:pPr>
            <w:r>
              <w:rPr>
                <w:sz w:val="24"/>
                <w:szCs w:val="24"/>
              </w:rPr>
              <w:t>·</w:t>
            </w:r>
            <w:r>
              <w:rPr>
                <w:rFonts w:ascii="Times New Roman" w:eastAsia="Times New Roman" w:hAnsi="Times New Roman" w:cs="Times New Roman"/>
                <w:sz w:val="14"/>
                <w:szCs w:val="14"/>
              </w:rPr>
              <w:t xml:space="preserve">         </w:t>
            </w:r>
            <w:r>
              <w:rPr>
                <w:sz w:val="24"/>
                <w:szCs w:val="24"/>
              </w:rPr>
              <w:t>In the context of any staffing recourse, the Institute shall not represent any successful candidate whose appointment or deployment is being challenged. However, upon request, those members will be provided by the Institute with information on their rights and where to find more information.</w:t>
            </w:r>
          </w:p>
          <w:p w14:paraId="2D6901B3" w14:textId="77777777" w:rsidR="00B326B6" w:rsidRDefault="00000000">
            <w:pPr>
              <w:spacing w:before="120"/>
              <w:rPr>
                <w:sz w:val="24"/>
                <w:szCs w:val="24"/>
              </w:rPr>
            </w:pPr>
            <w:r>
              <w:rPr>
                <w:sz w:val="24"/>
                <w:szCs w:val="24"/>
              </w:rPr>
              <w:t xml:space="preserve">Where members choose to pursue matters unrelated to the interpretation or application of the collective agreement on their own or with independently retained counsel at their own expense, the Institute will withdraw its representational services </w:t>
            </w:r>
            <w:proofErr w:type="gramStart"/>
            <w:r>
              <w:rPr>
                <w:sz w:val="24"/>
                <w:szCs w:val="24"/>
              </w:rPr>
              <w:t>with regard to</w:t>
            </w:r>
            <w:proofErr w:type="gramEnd"/>
            <w:r>
              <w:rPr>
                <w:sz w:val="24"/>
                <w:szCs w:val="24"/>
              </w:rPr>
              <w:t xml:space="preserve"> those particular matters.</w:t>
            </w:r>
          </w:p>
        </w:tc>
      </w:tr>
      <w:tr w:rsidR="00B326B6" w14:paraId="139F4DD5" w14:textId="77777777">
        <w:trPr>
          <w:trHeight w:val="3730"/>
        </w:trPr>
        <w:tc>
          <w:tcPr>
            <w:tcW w:w="2656" w:type="dxa"/>
            <w:tcBorders>
              <w:top w:val="nil"/>
              <w:left w:val="nil"/>
              <w:bottom w:val="single" w:sz="8" w:space="0" w:color="000000"/>
              <w:right w:val="nil"/>
            </w:tcBorders>
            <w:tcMar>
              <w:top w:w="100" w:type="dxa"/>
              <w:left w:w="100" w:type="dxa"/>
              <w:bottom w:w="100" w:type="dxa"/>
              <w:right w:w="100" w:type="dxa"/>
            </w:tcMar>
          </w:tcPr>
          <w:p w14:paraId="483D1C19" w14:textId="77777777" w:rsidR="00B326B6" w:rsidRDefault="00000000">
            <w:pPr>
              <w:spacing w:before="120"/>
              <w:ind w:left="360"/>
              <w:rPr>
                <w:b/>
                <w:sz w:val="24"/>
                <w:szCs w:val="24"/>
              </w:rPr>
            </w:pPr>
            <w:r>
              <w:rPr>
                <w:b/>
                <w:sz w:val="24"/>
                <w:szCs w:val="24"/>
              </w:rPr>
              <w:t>5.</w:t>
            </w:r>
            <w:r>
              <w:rPr>
                <w:sz w:val="14"/>
                <w:szCs w:val="14"/>
              </w:rPr>
              <w:t xml:space="preserve">      </w:t>
            </w:r>
            <w:r>
              <w:rPr>
                <w:b/>
                <w:sz w:val="24"/>
                <w:szCs w:val="24"/>
              </w:rPr>
              <w:t>Grievances</w:t>
            </w:r>
          </w:p>
        </w:tc>
        <w:tc>
          <w:tcPr>
            <w:tcW w:w="6704" w:type="dxa"/>
            <w:tcBorders>
              <w:top w:val="nil"/>
              <w:left w:val="nil"/>
              <w:bottom w:val="single" w:sz="8" w:space="0" w:color="000000"/>
              <w:right w:val="nil"/>
            </w:tcBorders>
            <w:tcMar>
              <w:top w:w="100" w:type="dxa"/>
              <w:left w:w="100" w:type="dxa"/>
              <w:bottom w:w="100" w:type="dxa"/>
              <w:right w:w="100" w:type="dxa"/>
            </w:tcMar>
          </w:tcPr>
          <w:p w14:paraId="6B6BB6D5" w14:textId="77777777" w:rsidR="00B326B6" w:rsidRDefault="00000000">
            <w:pPr>
              <w:spacing w:before="120"/>
              <w:rPr>
                <w:sz w:val="24"/>
                <w:szCs w:val="24"/>
              </w:rPr>
            </w:pPr>
            <w:r>
              <w:rPr>
                <w:sz w:val="24"/>
                <w:szCs w:val="24"/>
              </w:rPr>
              <w:t>Where a member files a collective agreement grievance that may result in a detrimental adjudication decision that would affect the Group as a whole and/or Institute members in general, the delegated Institute staff member, after consultation with the Group President, shall make a recommendation to the President of the Institute who shall make the decision whether to proceed with the grievance.</w:t>
            </w:r>
          </w:p>
          <w:p w14:paraId="1E51FBB9" w14:textId="77777777" w:rsidR="00B326B6" w:rsidRDefault="00000000">
            <w:pPr>
              <w:spacing w:before="120"/>
              <w:rPr>
                <w:sz w:val="24"/>
                <w:szCs w:val="24"/>
              </w:rPr>
            </w:pPr>
            <w:r>
              <w:rPr>
                <w:sz w:val="24"/>
                <w:szCs w:val="24"/>
              </w:rPr>
              <w:t xml:space="preserve">Group Executives have the right to be informed of grievances and formal complaints made by their members. </w:t>
            </w:r>
          </w:p>
          <w:p w14:paraId="4A32A2E0" w14:textId="77777777" w:rsidR="00B326B6" w:rsidRDefault="00000000">
            <w:pPr>
              <w:spacing w:before="120"/>
              <w:rPr>
                <w:sz w:val="24"/>
                <w:szCs w:val="24"/>
              </w:rPr>
            </w:pPr>
            <w:r>
              <w:rPr>
                <w:sz w:val="24"/>
                <w:szCs w:val="24"/>
              </w:rPr>
              <w:t xml:space="preserve">When the Institute disseminates any information about grievances, all particulars that might identify a </w:t>
            </w:r>
            <w:proofErr w:type="spellStart"/>
            <w:r>
              <w:rPr>
                <w:sz w:val="24"/>
                <w:szCs w:val="24"/>
              </w:rPr>
              <w:t>grievor</w:t>
            </w:r>
            <w:proofErr w:type="spellEnd"/>
            <w:r>
              <w:rPr>
                <w:sz w:val="24"/>
                <w:szCs w:val="24"/>
              </w:rPr>
              <w:t xml:space="preserve"> or the location of a </w:t>
            </w:r>
            <w:proofErr w:type="spellStart"/>
            <w:r>
              <w:rPr>
                <w:sz w:val="24"/>
                <w:szCs w:val="24"/>
              </w:rPr>
              <w:t>grievor</w:t>
            </w:r>
            <w:proofErr w:type="spellEnd"/>
            <w:r>
              <w:rPr>
                <w:sz w:val="24"/>
                <w:szCs w:val="24"/>
              </w:rPr>
              <w:t xml:space="preserve"> shall be protected and revealed only with the written consent of the </w:t>
            </w:r>
            <w:proofErr w:type="spellStart"/>
            <w:r>
              <w:rPr>
                <w:sz w:val="24"/>
                <w:szCs w:val="24"/>
              </w:rPr>
              <w:t>grievor</w:t>
            </w:r>
            <w:proofErr w:type="spellEnd"/>
            <w:r>
              <w:rPr>
                <w:sz w:val="24"/>
                <w:szCs w:val="24"/>
              </w:rPr>
              <w:t>.</w:t>
            </w:r>
          </w:p>
        </w:tc>
      </w:tr>
      <w:tr w:rsidR="00B326B6" w14:paraId="41F994FE" w14:textId="77777777">
        <w:trPr>
          <w:trHeight w:val="910"/>
        </w:trPr>
        <w:tc>
          <w:tcPr>
            <w:tcW w:w="2656" w:type="dxa"/>
            <w:tcBorders>
              <w:top w:val="nil"/>
              <w:left w:val="nil"/>
              <w:bottom w:val="single" w:sz="8" w:space="0" w:color="000000"/>
              <w:right w:val="nil"/>
            </w:tcBorders>
            <w:tcMar>
              <w:top w:w="100" w:type="dxa"/>
              <w:left w:w="100" w:type="dxa"/>
              <w:bottom w:w="100" w:type="dxa"/>
              <w:right w:w="100" w:type="dxa"/>
            </w:tcMar>
          </w:tcPr>
          <w:p w14:paraId="6179B1C7" w14:textId="77777777" w:rsidR="00B326B6" w:rsidRDefault="00000000">
            <w:pPr>
              <w:spacing w:before="120"/>
              <w:ind w:left="360"/>
              <w:rPr>
                <w:b/>
                <w:sz w:val="24"/>
                <w:szCs w:val="24"/>
              </w:rPr>
            </w:pPr>
            <w:r>
              <w:rPr>
                <w:b/>
                <w:sz w:val="24"/>
                <w:szCs w:val="24"/>
              </w:rPr>
              <w:lastRenderedPageBreak/>
              <w:t>6.</w:t>
            </w:r>
            <w:r>
              <w:rPr>
                <w:sz w:val="14"/>
                <w:szCs w:val="14"/>
              </w:rPr>
              <w:t xml:space="preserve">      </w:t>
            </w:r>
            <w:r>
              <w:rPr>
                <w:b/>
                <w:sz w:val="24"/>
                <w:szCs w:val="24"/>
              </w:rPr>
              <w:t>Policy Grievances</w:t>
            </w:r>
          </w:p>
        </w:tc>
        <w:tc>
          <w:tcPr>
            <w:tcW w:w="6704" w:type="dxa"/>
            <w:tcBorders>
              <w:top w:val="nil"/>
              <w:left w:val="nil"/>
              <w:bottom w:val="single" w:sz="8" w:space="0" w:color="000000"/>
              <w:right w:val="nil"/>
            </w:tcBorders>
            <w:tcMar>
              <w:top w:w="100" w:type="dxa"/>
              <w:left w:w="100" w:type="dxa"/>
              <w:bottom w:w="100" w:type="dxa"/>
              <w:right w:w="100" w:type="dxa"/>
            </w:tcMar>
          </w:tcPr>
          <w:p w14:paraId="14A6117D" w14:textId="2E932797" w:rsidR="00B326B6" w:rsidRDefault="00000000">
            <w:pPr>
              <w:spacing w:before="120"/>
              <w:rPr>
                <w:sz w:val="24"/>
                <w:szCs w:val="24"/>
              </w:rPr>
            </w:pPr>
            <w:r>
              <w:rPr>
                <w:sz w:val="24"/>
                <w:szCs w:val="24"/>
              </w:rPr>
              <w:t>A policy grievance shall only be filed upon approval by the General Counsel</w:t>
            </w:r>
            <w:sdt>
              <w:sdtPr>
                <w:tag w:val="goog_rdk_0"/>
                <w:id w:val="2141077151"/>
              </w:sdtPr>
              <w:sdtContent>
                <w:r>
                  <w:rPr>
                    <w:sz w:val="24"/>
                    <w:szCs w:val="24"/>
                  </w:rPr>
                  <w:t>.</w:t>
                </w:r>
              </w:sdtContent>
            </w:sdt>
            <w:r>
              <w:rPr>
                <w:sz w:val="24"/>
                <w:szCs w:val="24"/>
              </w:rPr>
              <w:t xml:space="preserve"> </w:t>
            </w:r>
            <w:r w:rsidR="00FE5016">
              <w:rPr>
                <w:sz w:val="24"/>
                <w:szCs w:val="24"/>
              </w:rPr>
              <w:t xml:space="preserve"> </w:t>
            </w:r>
            <w:r w:rsidR="00FE5016" w:rsidRPr="00FE5016">
              <w:rPr>
                <w:b/>
                <w:bCs/>
                <w:sz w:val="24"/>
                <w:szCs w:val="24"/>
              </w:rPr>
              <w:t>(BOD – 23Aug2023)</w:t>
            </w:r>
          </w:p>
        </w:tc>
      </w:tr>
      <w:tr w:rsidR="00B326B6" w14:paraId="1282CC62" w14:textId="77777777">
        <w:trPr>
          <w:trHeight w:val="2335"/>
        </w:trPr>
        <w:tc>
          <w:tcPr>
            <w:tcW w:w="2656" w:type="dxa"/>
            <w:tcBorders>
              <w:top w:val="nil"/>
              <w:left w:val="nil"/>
              <w:bottom w:val="single" w:sz="8" w:space="0" w:color="000000"/>
              <w:right w:val="nil"/>
            </w:tcBorders>
            <w:tcMar>
              <w:top w:w="100" w:type="dxa"/>
              <w:left w:w="100" w:type="dxa"/>
              <w:bottom w:w="100" w:type="dxa"/>
              <w:right w:w="100" w:type="dxa"/>
            </w:tcMar>
          </w:tcPr>
          <w:p w14:paraId="1ED5B109" w14:textId="77777777" w:rsidR="00B326B6" w:rsidRDefault="00000000">
            <w:pPr>
              <w:spacing w:before="120"/>
              <w:ind w:left="360"/>
              <w:rPr>
                <w:b/>
                <w:sz w:val="24"/>
                <w:szCs w:val="24"/>
              </w:rPr>
            </w:pPr>
            <w:r>
              <w:rPr>
                <w:b/>
                <w:sz w:val="24"/>
                <w:szCs w:val="24"/>
              </w:rPr>
              <w:t>7.</w:t>
            </w:r>
            <w:r>
              <w:rPr>
                <w:sz w:val="14"/>
                <w:szCs w:val="14"/>
              </w:rPr>
              <w:t xml:space="preserve">      </w:t>
            </w:r>
            <w:r>
              <w:rPr>
                <w:b/>
                <w:sz w:val="24"/>
                <w:szCs w:val="24"/>
              </w:rPr>
              <w:t xml:space="preserve">Attendance of the </w:t>
            </w:r>
            <w:proofErr w:type="spellStart"/>
            <w:r>
              <w:rPr>
                <w:b/>
                <w:sz w:val="24"/>
                <w:szCs w:val="24"/>
              </w:rPr>
              <w:t>Grievor</w:t>
            </w:r>
            <w:proofErr w:type="spellEnd"/>
            <w:r>
              <w:rPr>
                <w:b/>
                <w:sz w:val="24"/>
                <w:szCs w:val="24"/>
              </w:rPr>
              <w:t xml:space="preserve"> or Complainant</w:t>
            </w:r>
          </w:p>
        </w:tc>
        <w:tc>
          <w:tcPr>
            <w:tcW w:w="6704" w:type="dxa"/>
            <w:tcBorders>
              <w:top w:val="nil"/>
              <w:left w:val="nil"/>
              <w:bottom w:val="single" w:sz="8" w:space="0" w:color="000000"/>
              <w:right w:val="nil"/>
            </w:tcBorders>
            <w:tcMar>
              <w:top w:w="100" w:type="dxa"/>
              <w:left w:w="100" w:type="dxa"/>
              <w:bottom w:w="100" w:type="dxa"/>
              <w:right w:w="100" w:type="dxa"/>
            </w:tcMar>
          </w:tcPr>
          <w:p w14:paraId="06F57B2B" w14:textId="058D5C9B" w:rsidR="00B326B6" w:rsidRDefault="00000000">
            <w:pPr>
              <w:spacing w:before="120"/>
              <w:rPr>
                <w:sz w:val="24"/>
                <w:szCs w:val="24"/>
              </w:rPr>
            </w:pPr>
            <w:proofErr w:type="spellStart"/>
            <w:r>
              <w:rPr>
                <w:sz w:val="24"/>
                <w:szCs w:val="24"/>
              </w:rPr>
              <w:t>Grievors</w:t>
            </w:r>
            <w:proofErr w:type="spellEnd"/>
            <w:r>
              <w:rPr>
                <w:sz w:val="24"/>
                <w:szCs w:val="24"/>
              </w:rPr>
              <w:t xml:space="preserve"> or Complainant may attend their grievance hearings and other administrative processes. Attendance may be in person, by telephone or by </w:t>
            </w:r>
            <w:r w:rsidR="00FE5016">
              <w:rPr>
                <w:sz w:val="24"/>
                <w:szCs w:val="24"/>
              </w:rPr>
              <w:t>videoconference</w:t>
            </w:r>
            <w:r>
              <w:rPr>
                <w:sz w:val="24"/>
                <w:szCs w:val="24"/>
              </w:rPr>
              <w:t>, at the Institute’s discretion, and subject to the rules of the relevant administrative body. In the case of a policy or group grievance, the Institute shall determine which member(s), if any, shall attend at the Institute’s expense. Any travel must be pre-authorized by the Institute.</w:t>
            </w:r>
          </w:p>
        </w:tc>
      </w:tr>
      <w:tr w:rsidR="00B326B6" w14:paraId="1850B788" w14:textId="77777777">
        <w:trPr>
          <w:trHeight w:val="10270"/>
        </w:trPr>
        <w:tc>
          <w:tcPr>
            <w:tcW w:w="2656" w:type="dxa"/>
            <w:tcBorders>
              <w:top w:val="nil"/>
              <w:left w:val="nil"/>
              <w:bottom w:val="single" w:sz="8" w:space="0" w:color="000000"/>
              <w:right w:val="nil"/>
            </w:tcBorders>
            <w:tcMar>
              <w:top w:w="100" w:type="dxa"/>
              <w:left w:w="100" w:type="dxa"/>
              <w:bottom w:w="100" w:type="dxa"/>
              <w:right w:w="100" w:type="dxa"/>
            </w:tcMar>
          </w:tcPr>
          <w:p w14:paraId="3EE78213" w14:textId="77777777" w:rsidR="00B326B6" w:rsidRDefault="00000000">
            <w:pPr>
              <w:spacing w:before="120"/>
              <w:ind w:left="360"/>
              <w:rPr>
                <w:b/>
                <w:sz w:val="24"/>
                <w:szCs w:val="24"/>
              </w:rPr>
            </w:pPr>
            <w:r>
              <w:rPr>
                <w:b/>
                <w:sz w:val="24"/>
                <w:szCs w:val="24"/>
              </w:rPr>
              <w:lastRenderedPageBreak/>
              <w:t>8.</w:t>
            </w:r>
            <w:r>
              <w:rPr>
                <w:sz w:val="14"/>
                <w:szCs w:val="14"/>
              </w:rPr>
              <w:t xml:space="preserve">      </w:t>
            </w:r>
            <w:r>
              <w:rPr>
                <w:b/>
                <w:sz w:val="24"/>
                <w:szCs w:val="24"/>
              </w:rPr>
              <w:t xml:space="preserve">Dissatisfaction of the </w:t>
            </w:r>
            <w:proofErr w:type="spellStart"/>
            <w:r>
              <w:rPr>
                <w:b/>
                <w:sz w:val="24"/>
                <w:szCs w:val="24"/>
              </w:rPr>
              <w:t>Grievor</w:t>
            </w:r>
            <w:proofErr w:type="spellEnd"/>
            <w:r>
              <w:rPr>
                <w:b/>
                <w:sz w:val="24"/>
                <w:szCs w:val="24"/>
              </w:rPr>
              <w:t xml:space="preserve"> or Complainant</w:t>
            </w:r>
          </w:p>
        </w:tc>
        <w:tc>
          <w:tcPr>
            <w:tcW w:w="6704" w:type="dxa"/>
            <w:tcBorders>
              <w:top w:val="nil"/>
              <w:left w:val="nil"/>
              <w:bottom w:val="single" w:sz="8" w:space="0" w:color="000000"/>
              <w:right w:val="nil"/>
            </w:tcBorders>
            <w:tcMar>
              <w:top w:w="100" w:type="dxa"/>
              <w:left w:w="100" w:type="dxa"/>
              <w:bottom w:w="100" w:type="dxa"/>
              <w:right w:w="100" w:type="dxa"/>
            </w:tcMar>
          </w:tcPr>
          <w:p w14:paraId="5275EEC3" w14:textId="77777777" w:rsidR="00B326B6" w:rsidRDefault="00000000">
            <w:pPr>
              <w:spacing w:before="120"/>
              <w:rPr>
                <w:sz w:val="24"/>
                <w:szCs w:val="24"/>
              </w:rPr>
            </w:pPr>
            <w:r>
              <w:rPr>
                <w:sz w:val="24"/>
                <w:szCs w:val="24"/>
              </w:rPr>
              <w:t>Occasionally, there are situations when disagreements arise between staff and members on the handling of the member's individual case.  Such disagreements can relate to the strategy to be used or even whether to proceed or not to the best interests of the member or to potential jeopardy of the interests and rights of other members.</w:t>
            </w:r>
          </w:p>
          <w:p w14:paraId="1155A335" w14:textId="77777777" w:rsidR="00B326B6" w:rsidRDefault="00000000">
            <w:pPr>
              <w:spacing w:before="120"/>
              <w:rPr>
                <w:sz w:val="24"/>
                <w:szCs w:val="24"/>
              </w:rPr>
            </w:pPr>
            <w:r>
              <w:rPr>
                <w:sz w:val="24"/>
                <w:szCs w:val="24"/>
              </w:rPr>
              <w:t>When a member and a staff officer disagree on the handling of the member’s case, the individuals involved should attempt to resolve differences through an in-depth discussion of the case.  The staff officer shall provide the member with a rationale for the strategy being proposed and any supporting jurisprudence for the member’s consideration.  The member should also put forward to the staff officer, in writing, the reasons for proposing a different approach in the handling of the case.</w:t>
            </w:r>
          </w:p>
          <w:p w14:paraId="1D62DF1B" w14:textId="77777777" w:rsidR="00B326B6" w:rsidRDefault="00000000">
            <w:pPr>
              <w:spacing w:before="120"/>
              <w:rPr>
                <w:sz w:val="24"/>
                <w:szCs w:val="24"/>
              </w:rPr>
            </w:pPr>
            <w:r>
              <w:rPr>
                <w:sz w:val="24"/>
                <w:szCs w:val="24"/>
              </w:rPr>
              <w:t>If an impasse is reached between the member and the staff officer, the matter, along with the legal and labour relations merits of the case and the relevant positions of the affected member and the responsible staff officer, shall be referred to the Director of Regional Labour Relations or, where the matter relates to a classification issue, the Director of National Labour Relations.</w:t>
            </w:r>
          </w:p>
          <w:p w14:paraId="7515C0C8" w14:textId="2F80A02F" w:rsidR="00B326B6" w:rsidRPr="00FE5016" w:rsidRDefault="00000000">
            <w:pPr>
              <w:spacing w:before="120"/>
              <w:rPr>
                <w:iCs/>
                <w:sz w:val="24"/>
                <w:szCs w:val="24"/>
              </w:rPr>
            </w:pPr>
            <w:r>
              <w:rPr>
                <w:sz w:val="24"/>
                <w:szCs w:val="24"/>
              </w:rPr>
              <w:t xml:space="preserve">If an impasse is reached between the Director of Regional Labour Relations or the Director of National Labour Relations and the member, the matter will be referred to the General Counsel </w:t>
            </w:r>
            <w:sdt>
              <w:sdtPr>
                <w:tag w:val="goog_rdk_2"/>
                <w:id w:val="728267385"/>
                <w:showingPlcHdr/>
              </w:sdtPr>
              <w:sdtContent>
                <w:r w:rsidR="00FE5016">
                  <w:t xml:space="preserve">     </w:t>
                </w:r>
              </w:sdtContent>
            </w:sdt>
            <w:r>
              <w:rPr>
                <w:sz w:val="24"/>
                <w:szCs w:val="24"/>
              </w:rPr>
              <w:t xml:space="preserve"> (“GC</w:t>
            </w:r>
            <w:sdt>
              <w:sdtPr>
                <w:tag w:val="goog_rdk_3"/>
                <w:id w:val="-773316514"/>
                <w:showingPlcHdr/>
              </w:sdtPr>
              <w:sdtContent>
                <w:r w:rsidR="00FE5016">
                  <w:t xml:space="preserve">     </w:t>
                </w:r>
              </w:sdtContent>
            </w:sdt>
            <w:r>
              <w:rPr>
                <w:sz w:val="24"/>
                <w:szCs w:val="24"/>
              </w:rPr>
              <w:t xml:space="preserve">”) who will </w:t>
            </w:r>
            <w:proofErr w:type="gramStart"/>
            <w:r>
              <w:rPr>
                <w:sz w:val="24"/>
                <w:szCs w:val="24"/>
              </w:rPr>
              <w:t>conduct an investigation</w:t>
            </w:r>
            <w:proofErr w:type="gramEnd"/>
            <w:r>
              <w:rPr>
                <w:sz w:val="24"/>
                <w:szCs w:val="24"/>
              </w:rPr>
              <w:t>.  The member will have an opportunity to make submissions to the GC</w:t>
            </w:r>
            <w:sdt>
              <w:sdtPr>
                <w:tag w:val="goog_rdk_4"/>
                <w:id w:val="12124649"/>
                <w:showingPlcHdr/>
              </w:sdtPr>
              <w:sdtContent>
                <w:r w:rsidR="00FE5016">
                  <w:t xml:space="preserve">     </w:t>
                </w:r>
              </w:sdtContent>
            </w:sdt>
            <w:r>
              <w:rPr>
                <w:sz w:val="24"/>
                <w:szCs w:val="24"/>
              </w:rPr>
              <w:t xml:space="preserve"> before the GC</w:t>
            </w:r>
            <w:sdt>
              <w:sdtPr>
                <w:tag w:val="goog_rdk_5"/>
                <w:id w:val="-1736539394"/>
                <w:showingPlcHdr/>
              </w:sdtPr>
              <w:sdtContent>
                <w:r w:rsidR="00FE5016">
                  <w:t xml:space="preserve">     </w:t>
                </w:r>
              </w:sdtContent>
            </w:sdt>
            <w:r>
              <w:rPr>
                <w:sz w:val="24"/>
                <w:szCs w:val="24"/>
              </w:rPr>
              <w:t xml:space="preserve"> renders an opinion on the matter to the President.  The GC</w:t>
            </w:r>
            <w:sdt>
              <w:sdtPr>
                <w:tag w:val="goog_rdk_6"/>
                <w:id w:val="-1563162761"/>
                <w:showingPlcHdr/>
              </w:sdtPr>
              <w:sdtContent>
                <w:r w:rsidR="00FE5016">
                  <w:t xml:space="preserve">     </w:t>
                </w:r>
              </w:sdtContent>
            </w:sdt>
            <w:r>
              <w:rPr>
                <w:sz w:val="24"/>
                <w:szCs w:val="24"/>
              </w:rPr>
              <w:t xml:space="preserve"> will then prepare an analysis of the situation and make an appropriate recommendation to the President.  The analysis and recommendation will not be made available to the member.  The GC</w:t>
            </w:r>
            <w:sdt>
              <w:sdtPr>
                <w:tag w:val="goog_rdk_7"/>
                <w:id w:val="-1173111217"/>
                <w:showingPlcHdr/>
              </w:sdtPr>
              <w:sdtContent>
                <w:r w:rsidR="00FE5016">
                  <w:t xml:space="preserve">     </w:t>
                </w:r>
              </w:sdtContent>
            </w:sdt>
            <w:r>
              <w:rPr>
                <w:sz w:val="24"/>
                <w:szCs w:val="24"/>
              </w:rPr>
              <w:t xml:space="preserve">, in reviewing the case and making a recommendation, will do so </w:t>
            </w:r>
            <w:proofErr w:type="gramStart"/>
            <w:r>
              <w:rPr>
                <w:sz w:val="24"/>
                <w:szCs w:val="24"/>
              </w:rPr>
              <w:t>on the basis of</w:t>
            </w:r>
            <w:proofErr w:type="gramEnd"/>
            <w:r>
              <w:rPr>
                <w:sz w:val="24"/>
                <w:szCs w:val="24"/>
              </w:rPr>
              <w:t xml:space="preserve"> the inherent </w:t>
            </w:r>
            <w:r>
              <w:rPr>
                <w:i/>
                <w:sz w:val="24"/>
                <w:szCs w:val="24"/>
              </w:rPr>
              <w:t>duty of fair representation.</w:t>
            </w:r>
            <w:r w:rsidR="00FE5016">
              <w:rPr>
                <w:i/>
                <w:sz w:val="24"/>
                <w:szCs w:val="24"/>
              </w:rPr>
              <w:t xml:space="preserve"> </w:t>
            </w:r>
            <w:r w:rsidR="00FE5016" w:rsidRPr="00FE5016">
              <w:rPr>
                <w:b/>
                <w:bCs/>
                <w:iCs/>
                <w:sz w:val="24"/>
                <w:szCs w:val="24"/>
              </w:rPr>
              <w:t xml:space="preserve">(BOD </w:t>
            </w:r>
            <w:r w:rsidR="00FE5016">
              <w:rPr>
                <w:b/>
                <w:bCs/>
                <w:iCs/>
                <w:sz w:val="24"/>
                <w:szCs w:val="24"/>
              </w:rPr>
              <w:t>-</w:t>
            </w:r>
            <w:r w:rsidR="00FE5016" w:rsidRPr="00FE5016">
              <w:rPr>
                <w:b/>
                <w:bCs/>
                <w:iCs/>
                <w:sz w:val="24"/>
                <w:szCs w:val="24"/>
              </w:rPr>
              <w:t xml:space="preserve"> 23Aug2023)</w:t>
            </w:r>
          </w:p>
          <w:p w14:paraId="5E91BEC7" w14:textId="748DF327" w:rsidR="00B326B6" w:rsidRDefault="00000000">
            <w:pPr>
              <w:spacing w:before="120"/>
              <w:rPr>
                <w:sz w:val="24"/>
                <w:szCs w:val="24"/>
              </w:rPr>
            </w:pPr>
            <w:r>
              <w:rPr>
                <w:sz w:val="24"/>
                <w:szCs w:val="24"/>
              </w:rPr>
              <w:t>The President will review the recommendation of the GC</w:t>
            </w:r>
            <w:sdt>
              <w:sdtPr>
                <w:tag w:val="goog_rdk_8"/>
                <w:id w:val="830403914"/>
                <w:showingPlcHdr/>
              </w:sdtPr>
              <w:sdtContent>
                <w:r w:rsidR="00FE5016">
                  <w:t xml:space="preserve">     </w:t>
                </w:r>
              </w:sdtContent>
            </w:sdt>
            <w:r>
              <w:rPr>
                <w:sz w:val="24"/>
                <w:szCs w:val="24"/>
              </w:rPr>
              <w:t xml:space="preserve"> and </w:t>
            </w:r>
            <w:proofErr w:type="gramStart"/>
            <w:r>
              <w:rPr>
                <w:sz w:val="24"/>
                <w:szCs w:val="24"/>
              </w:rPr>
              <w:t>make a decision</w:t>
            </w:r>
            <w:proofErr w:type="gramEnd"/>
            <w:r>
              <w:rPr>
                <w:sz w:val="24"/>
                <w:szCs w:val="24"/>
              </w:rPr>
              <w:t xml:space="preserve"> on the matter.  The decision of the President shall be final.  The President’s decision will be communicated to the affected member and involved Institute staff as required. </w:t>
            </w:r>
            <w:r w:rsidR="00FE5016" w:rsidRPr="00FE5016">
              <w:rPr>
                <w:b/>
                <w:bCs/>
                <w:iCs/>
                <w:sz w:val="24"/>
                <w:szCs w:val="24"/>
              </w:rPr>
              <w:t xml:space="preserve">(BOD </w:t>
            </w:r>
            <w:r w:rsidR="00FE5016">
              <w:rPr>
                <w:b/>
                <w:bCs/>
                <w:iCs/>
                <w:sz w:val="24"/>
                <w:szCs w:val="24"/>
              </w:rPr>
              <w:t>-</w:t>
            </w:r>
            <w:r w:rsidR="00FE5016" w:rsidRPr="00FE5016">
              <w:rPr>
                <w:b/>
                <w:bCs/>
                <w:iCs/>
                <w:sz w:val="24"/>
                <w:szCs w:val="24"/>
              </w:rPr>
              <w:t xml:space="preserve"> 23Aug2023)</w:t>
            </w:r>
          </w:p>
        </w:tc>
      </w:tr>
      <w:tr w:rsidR="00B326B6" w14:paraId="3267D4F1" w14:textId="77777777">
        <w:trPr>
          <w:trHeight w:val="625"/>
        </w:trPr>
        <w:tc>
          <w:tcPr>
            <w:tcW w:w="2656" w:type="dxa"/>
            <w:tcBorders>
              <w:top w:val="nil"/>
              <w:left w:val="nil"/>
              <w:bottom w:val="single" w:sz="8" w:space="0" w:color="000000"/>
              <w:right w:val="nil"/>
            </w:tcBorders>
            <w:tcMar>
              <w:top w:w="100" w:type="dxa"/>
              <w:left w:w="100" w:type="dxa"/>
              <w:bottom w:w="100" w:type="dxa"/>
              <w:right w:w="100" w:type="dxa"/>
            </w:tcMar>
          </w:tcPr>
          <w:p w14:paraId="6B9D8AB6" w14:textId="77777777" w:rsidR="00B326B6" w:rsidRDefault="00000000">
            <w:pPr>
              <w:spacing w:before="120"/>
              <w:ind w:left="360"/>
              <w:rPr>
                <w:b/>
                <w:sz w:val="24"/>
                <w:szCs w:val="24"/>
              </w:rPr>
            </w:pPr>
            <w:r>
              <w:rPr>
                <w:b/>
                <w:sz w:val="24"/>
                <w:szCs w:val="24"/>
              </w:rPr>
              <w:lastRenderedPageBreak/>
              <w:t>9.</w:t>
            </w:r>
            <w:r>
              <w:rPr>
                <w:sz w:val="14"/>
                <w:szCs w:val="14"/>
              </w:rPr>
              <w:t xml:space="preserve">      </w:t>
            </w:r>
            <w:r>
              <w:rPr>
                <w:b/>
                <w:sz w:val="24"/>
                <w:szCs w:val="24"/>
              </w:rPr>
              <w:t>References</w:t>
            </w:r>
          </w:p>
        </w:tc>
        <w:tc>
          <w:tcPr>
            <w:tcW w:w="6704" w:type="dxa"/>
            <w:tcBorders>
              <w:top w:val="nil"/>
              <w:left w:val="nil"/>
              <w:bottom w:val="single" w:sz="8" w:space="0" w:color="000000"/>
              <w:right w:val="nil"/>
            </w:tcBorders>
            <w:tcMar>
              <w:top w:w="100" w:type="dxa"/>
              <w:left w:w="100" w:type="dxa"/>
              <w:bottom w:w="100" w:type="dxa"/>
              <w:right w:w="100" w:type="dxa"/>
            </w:tcMar>
          </w:tcPr>
          <w:p w14:paraId="15DF4BB3" w14:textId="77777777" w:rsidR="00B326B6" w:rsidRDefault="00000000">
            <w:pPr>
              <w:spacing w:before="120"/>
              <w:rPr>
                <w:sz w:val="24"/>
                <w:szCs w:val="24"/>
              </w:rPr>
            </w:pPr>
            <w:r>
              <w:rPr>
                <w:sz w:val="24"/>
                <w:szCs w:val="24"/>
              </w:rPr>
              <w:t xml:space="preserve"> </w:t>
            </w:r>
          </w:p>
        </w:tc>
      </w:tr>
    </w:tbl>
    <w:p w14:paraId="5460DCE5" w14:textId="77777777" w:rsidR="00B326B6" w:rsidRDefault="00000000">
      <w:pPr>
        <w:spacing w:before="240" w:after="240"/>
        <w:rPr>
          <w:sz w:val="24"/>
          <w:szCs w:val="24"/>
        </w:rPr>
      </w:pPr>
      <w:r>
        <w:rPr>
          <w:sz w:val="24"/>
          <w:szCs w:val="24"/>
        </w:rPr>
        <w:t xml:space="preserve"> </w:t>
      </w:r>
    </w:p>
    <w:p w14:paraId="230711A3" w14:textId="77777777" w:rsidR="00B326B6" w:rsidRDefault="00000000">
      <w:pPr>
        <w:spacing w:before="240" w:after="240"/>
        <w:rPr>
          <w:sz w:val="24"/>
          <w:szCs w:val="24"/>
        </w:rPr>
      </w:pPr>
      <w:r>
        <w:rPr>
          <w:sz w:val="24"/>
          <w:szCs w:val="24"/>
        </w:rPr>
        <w:t xml:space="preserve"> </w:t>
      </w:r>
    </w:p>
    <w:p w14:paraId="613C68E3" w14:textId="77777777" w:rsidR="00B326B6" w:rsidRDefault="00B326B6">
      <w:pPr>
        <w:spacing w:line="240" w:lineRule="auto"/>
        <w:rPr>
          <w:sz w:val="24"/>
          <w:szCs w:val="24"/>
        </w:rPr>
      </w:pPr>
    </w:p>
    <w:sectPr w:rsidR="00B326B6">
      <w:headerReference w:type="default" r:id="rId7"/>
      <w:footerReference w:type="default" r:id="rId8"/>
      <w:footerReference w:type="first" r:id="rId9"/>
      <w:pgSz w:w="12240" w:h="15840"/>
      <w:pgMar w:top="1440" w:right="1440" w:bottom="1440" w:left="1440" w:header="708"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6F559" w14:textId="77777777" w:rsidR="001E0BAC" w:rsidRDefault="001E0BAC">
      <w:pPr>
        <w:spacing w:after="0" w:line="240" w:lineRule="auto"/>
      </w:pPr>
      <w:r>
        <w:separator/>
      </w:r>
    </w:p>
  </w:endnote>
  <w:endnote w:type="continuationSeparator" w:id="0">
    <w:p w14:paraId="288C4524" w14:textId="77777777" w:rsidR="001E0BAC" w:rsidRDefault="001E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9A072" w14:textId="1D414914" w:rsidR="00B326B6"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sidR="00FE5016">
      <w:rPr>
        <w:rFonts w:ascii="Calibri" w:hAnsi="Calibri"/>
        <w:noProof/>
        <w:color w:val="000000"/>
        <w:sz w:val="20"/>
        <w:szCs w:val="20"/>
      </w:rPr>
      <w:t>1</w:t>
    </w:r>
    <w:r>
      <w:rPr>
        <w:rFonts w:ascii="Calibri" w:hAnsi="Calibri"/>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9A9A" w14:textId="77777777" w:rsidR="00B326B6" w:rsidRDefault="00000000">
    <w:pPr>
      <w:pBdr>
        <w:top w:val="nil"/>
        <w:left w:val="nil"/>
        <w:bottom w:val="nil"/>
        <w:right w:val="nil"/>
        <w:between w:val="nil"/>
      </w:pBdr>
      <w:tabs>
        <w:tab w:val="center" w:pos="4680"/>
        <w:tab w:val="right" w:pos="9360"/>
      </w:tabs>
      <w:spacing w:after="0" w:line="240" w:lineRule="auto"/>
      <w:rPr>
        <w:rFonts w:ascii="Calibri" w:hAnsi="Calibri"/>
        <w:color w:val="000000"/>
        <w:sz w:val="20"/>
        <w:szCs w:val="20"/>
      </w:rPr>
    </w:pPr>
    <w:r>
      <w:rPr>
        <w:rFonts w:ascii="Calibri" w:hAnsi="Calibri"/>
        <w:color w:val="000000"/>
        <w:sz w:val="20"/>
        <w:szCs w:val="20"/>
      </w:rPr>
      <w:t>Board Policy Manual</w:t>
    </w:r>
    <w:r>
      <w:rPr>
        <w:rFonts w:ascii="Calibri" w:hAnsi="Calibri"/>
        <w:color w:val="000000"/>
        <w:sz w:val="20"/>
        <w:szCs w:val="20"/>
      </w:rPr>
      <w:tab/>
    </w:r>
    <w:r>
      <w:rPr>
        <w:rFonts w:ascii="Calibri" w:hAnsi="Calibri"/>
        <w:color w:val="000000"/>
        <w:sz w:val="20"/>
        <w:szCs w:val="20"/>
      </w:rPr>
      <w:tab/>
    </w:r>
    <w:r>
      <w:rPr>
        <w:rFonts w:ascii="Calibri" w:hAnsi="Calibri"/>
        <w:color w:val="7F7F7F"/>
        <w:sz w:val="20"/>
        <w:szCs w:val="20"/>
      </w:rPr>
      <w:t>Page</w:t>
    </w:r>
    <w:r>
      <w:rPr>
        <w:rFonts w:ascii="Calibri" w:hAnsi="Calibri"/>
        <w:color w:val="000000"/>
        <w:sz w:val="20"/>
        <w:szCs w:val="20"/>
      </w:rPr>
      <w:t xml:space="preserve"> | </w:t>
    </w:r>
    <w:r>
      <w:rPr>
        <w:rFonts w:ascii="Calibri" w:hAnsi="Calibri"/>
        <w:color w:val="000000"/>
        <w:sz w:val="20"/>
        <w:szCs w:val="20"/>
      </w:rPr>
      <w:fldChar w:fldCharType="begin"/>
    </w:r>
    <w:r>
      <w:rPr>
        <w:rFonts w:ascii="Calibri" w:hAnsi="Calibri"/>
        <w:color w:val="000000"/>
        <w:sz w:val="20"/>
        <w:szCs w:val="20"/>
      </w:rPr>
      <w:instrText>PAGE</w:instrText>
    </w:r>
    <w:r>
      <w:rPr>
        <w:rFonts w:ascii="Calibri" w:hAnsi="Calibri"/>
        <w:color w:val="000000"/>
        <w:sz w:val="20"/>
        <w:szCs w:val="20"/>
      </w:rPr>
      <w:fldChar w:fldCharType="separate"/>
    </w:r>
    <w:r>
      <w:rPr>
        <w:rFonts w:ascii="Calibri" w:hAnsi="Calibri"/>
        <w:color w:val="000000"/>
        <w:sz w:val="20"/>
        <w:szCs w:val="20"/>
      </w:rPr>
      <w:fldChar w:fldCharType="end"/>
    </w:r>
    <w:r>
      <w:rPr>
        <w:rFonts w:ascii="Calibri" w:hAnsi="Calibri"/>
        <w:color w:val="000000"/>
        <w:sz w:val="20"/>
        <w:szCs w:val="20"/>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F6BB" w14:textId="77777777" w:rsidR="001E0BAC" w:rsidRDefault="001E0BAC">
      <w:pPr>
        <w:spacing w:after="0" w:line="240" w:lineRule="auto"/>
      </w:pPr>
      <w:r>
        <w:separator/>
      </w:r>
    </w:p>
  </w:footnote>
  <w:footnote w:type="continuationSeparator" w:id="0">
    <w:p w14:paraId="02830B43" w14:textId="77777777" w:rsidR="001E0BAC" w:rsidRDefault="001E0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20F8" w14:textId="77777777" w:rsidR="00B326B6" w:rsidRDefault="00000000">
    <w:pPr>
      <w:pBdr>
        <w:top w:val="nil"/>
        <w:left w:val="nil"/>
        <w:bottom w:val="nil"/>
        <w:right w:val="nil"/>
        <w:between w:val="nil"/>
      </w:pBdr>
      <w:tabs>
        <w:tab w:val="center" w:pos="4680"/>
        <w:tab w:val="right" w:pos="9360"/>
      </w:tabs>
      <w:spacing w:after="0" w:line="240" w:lineRule="auto"/>
      <w:rPr>
        <w:rFonts w:ascii="Calibri" w:hAnsi="Calibri"/>
        <w:color w:val="000000"/>
      </w:rPr>
    </w:pPr>
    <w:r>
      <w:rPr>
        <w:rFonts w:ascii="Calibri" w:hAnsi="Calibri"/>
        <w:noProof/>
        <w:color w:val="000000"/>
      </w:rPr>
      <w:drawing>
        <wp:inline distT="0" distB="0" distL="0" distR="0" wp14:anchorId="5D82C064" wp14:editId="7C1BADD7">
          <wp:extent cx="4242879" cy="746584"/>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242879" cy="746584"/>
                  </a:xfrm>
                  <a:prstGeom prst="rect">
                    <a:avLst/>
                  </a:prstGeom>
                  <a:ln/>
                </pic:spPr>
              </pic:pic>
            </a:graphicData>
          </a:graphic>
        </wp:inline>
      </w:drawing>
    </w:r>
  </w:p>
  <w:p w14:paraId="466F9BC4" w14:textId="77777777" w:rsidR="00B326B6" w:rsidRDefault="00B326B6">
    <w:pPr>
      <w:pBdr>
        <w:top w:val="nil"/>
        <w:left w:val="nil"/>
        <w:bottom w:val="nil"/>
        <w:right w:val="nil"/>
        <w:between w:val="nil"/>
      </w:pBdr>
      <w:tabs>
        <w:tab w:val="center" w:pos="4680"/>
        <w:tab w:val="right" w:pos="9360"/>
      </w:tabs>
      <w:spacing w:after="0" w:line="240" w:lineRule="auto"/>
      <w:rPr>
        <w:rFonts w:ascii="Calibri" w:hAnsi="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B6"/>
    <w:rsid w:val="001E0BAC"/>
    <w:rsid w:val="00B326B6"/>
    <w:rsid w:val="00FE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E93D"/>
  <w15:docId w15:val="{6EE1EF59-42B3-485F-83B8-F75884B1C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B7"/>
    <w:rPr>
      <w:rFonts w:asciiTheme="minorHAnsi" w:hAnsiTheme="minorHAns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97D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DBB"/>
    <w:rPr>
      <w:rFonts w:ascii="Tahoma" w:hAnsi="Tahoma" w:cs="Tahoma"/>
      <w:sz w:val="16"/>
      <w:szCs w:val="16"/>
    </w:rPr>
  </w:style>
  <w:style w:type="paragraph" w:styleId="Header">
    <w:name w:val="header"/>
    <w:basedOn w:val="Normal"/>
    <w:link w:val="HeaderChar"/>
    <w:uiPriority w:val="99"/>
    <w:unhideWhenUsed/>
    <w:rsid w:val="001C6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CC8"/>
  </w:style>
  <w:style w:type="paragraph" w:styleId="Footer">
    <w:name w:val="footer"/>
    <w:basedOn w:val="Normal"/>
    <w:link w:val="FooterChar"/>
    <w:uiPriority w:val="99"/>
    <w:unhideWhenUsed/>
    <w:rsid w:val="001C6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CC8"/>
  </w:style>
  <w:style w:type="paragraph" w:styleId="ListParagraph">
    <w:name w:val="List Paragraph"/>
    <w:basedOn w:val="Normal"/>
    <w:uiPriority w:val="34"/>
    <w:qFormat/>
    <w:rsid w:val="005A42AA"/>
    <w:pPr>
      <w:ind w:left="720"/>
      <w:contextualSpacing/>
    </w:pPr>
  </w:style>
  <w:style w:type="table" w:styleId="TableGrid">
    <w:name w:val="Table Grid"/>
    <w:basedOn w:val="TableNormal"/>
    <w:uiPriority w:val="59"/>
    <w:rsid w:val="0001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76B7"/>
    <w:rPr>
      <w:b/>
      <w:bCs/>
    </w:rPr>
  </w:style>
  <w:style w:type="paragraph" w:styleId="TOC1">
    <w:name w:val="toc 1"/>
    <w:basedOn w:val="Normal"/>
    <w:next w:val="Normal"/>
    <w:autoRedefine/>
    <w:uiPriority w:val="39"/>
    <w:unhideWhenUsed/>
    <w:rsid w:val="009F76B7"/>
    <w:pPr>
      <w:spacing w:after="100"/>
    </w:pPr>
  </w:style>
  <w:style w:type="paragraph" w:styleId="TOC2">
    <w:name w:val="toc 2"/>
    <w:basedOn w:val="Normal"/>
    <w:next w:val="Normal"/>
    <w:autoRedefine/>
    <w:uiPriority w:val="39"/>
    <w:unhideWhenUsed/>
    <w:rsid w:val="009F76B7"/>
    <w:pPr>
      <w:spacing w:after="100"/>
      <w:ind w:left="220"/>
    </w:pPr>
  </w:style>
  <w:style w:type="character" w:styleId="Hyperlink">
    <w:name w:val="Hyperlink"/>
    <w:basedOn w:val="DefaultParagraphFont"/>
    <w:uiPriority w:val="99"/>
    <w:unhideWhenUsed/>
    <w:rsid w:val="009F76B7"/>
    <w:rPr>
      <w:color w:val="0000FF" w:themeColor="hyperlink"/>
      <w:u w:val="single"/>
    </w:rPr>
  </w:style>
  <w:style w:type="paragraph" w:styleId="NormalWeb">
    <w:name w:val="Normal (Web)"/>
    <w:basedOn w:val="Normal"/>
    <w:uiPriority w:val="99"/>
    <w:semiHidden/>
    <w:unhideWhenUsed/>
    <w:rsid w:val="00E92973"/>
    <w:pPr>
      <w:spacing w:before="100" w:beforeAutospacing="1" w:after="100" w:afterAutospacing="1" w:line="240" w:lineRule="auto"/>
    </w:pPr>
    <w:rPr>
      <w:rFonts w:ascii="Times New Roman" w:eastAsiaTheme="minorEastAsia" w:hAnsi="Times New Roman" w:cs="Times New Roman"/>
      <w:sz w:val="24"/>
      <w:lang w:eastAsia="en-CA"/>
    </w:rPr>
  </w:style>
  <w:style w:type="character" w:styleId="CommentReference">
    <w:name w:val="annotation reference"/>
    <w:basedOn w:val="DefaultParagraphFont"/>
    <w:uiPriority w:val="99"/>
    <w:semiHidden/>
    <w:unhideWhenUsed/>
    <w:rsid w:val="00010F1C"/>
    <w:rPr>
      <w:sz w:val="16"/>
      <w:szCs w:val="16"/>
    </w:rPr>
  </w:style>
  <w:style w:type="paragraph" w:styleId="CommentText">
    <w:name w:val="annotation text"/>
    <w:basedOn w:val="Normal"/>
    <w:link w:val="CommentTextChar"/>
    <w:uiPriority w:val="99"/>
    <w:semiHidden/>
    <w:unhideWhenUsed/>
    <w:rsid w:val="00010F1C"/>
    <w:pPr>
      <w:spacing w:line="240" w:lineRule="auto"/>
    </w:pPr>
    <w:rPr>
      <w:sz w:val="20"/>
      <w:szCs w:val="20"/>
    </w:rPr>
  </w:style>
  <w:style w:type="character" w:customStyle="1" w:styleId="CommentTextChar">
    <w:name w:val="Comment Text Char"/>
    <w:basedOn w:val="DefaultParagraphFont"/>
    <w:link w:val="CommentText"/>
    <w:uiPriority w:val="99"/>
    <w:semiHidden/>
    <w:rsid w:val="00010F1C"/>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10F1C"/>
    <w:rPr>
      <w:b/>
      <w:bCs/>
    </w:rPr>
  </w:style>
  <w:style w:type="character" w:customStyle="1" w:styleId="CommentSubjectChar">
    <w:name w:val="Comment Subject Char"/>
    <w:basedOn w:val="CommentTextChar"/>
    <w:link w:val="CommentSubject"/>
    <w:uiPriority w:val="99"/>
    <w:semiHidden/>
    <w:rsid w:val="00010F1C"/>
    <w:rPr>
      <w:rFonts w:asciiTheme="minorHAnsi" w:hAnsiTheme="minorHAnsi"/>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khrDsxrIny4kgCsfIhqTgoAJRg==">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863</Words>
  <Characters>4921</Characters>
  <Application>Microsoft Office Word</Application>
  <DocSecurity>0</DocSecurity>
  <Lines>41</Lines>
  <Paragraphs>11</Paragraphs>
  <ScaleCrop>false</ScaleCrop>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Boyer</dc:creator>
  <cp:lastModifiedBy>Tony Goddard</cp:lastModifiedBy>
  <cp:revision>2</cp:revision>
  <dcterms:created xsi:type="dcterms:W3CDTF">2023-04-04T18:35:00Z</dcterms:created>
  <dcterms:modified xsi:type="dcterms:W3CDTF">2023-09-05T16:17:00Z</dcterms:modified>
</cp:coreProperties>
</file>