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right"/>
        <w:rPr>
          <w:i w:val="1"/>
          <w:color w:val="000000"/>
        </w:rPr>
      </w:pPr>
      <w:bookmarkStart w:colFirst="0" w:colLast="0" w:name="_heading=h.gjdgxs" w:id="0"/>
      <w:bookmarkEnd w:id="0"/>
      <w:r w:rsidDel="00000000" w:rsidR="00000000" w:rsidRPr="00000000">
        <w:rPr>
          <w:i w:val="1"/>
          <w:color w:val="000000"/>
          <w:rtl w:val="0"/>
        </w:rPr>
        <w:t xml:space="preserve">(Traduit de l’anglais)</w:t>
      </w:r>
    </w:p>
    <w:p w:rsidR="00000000" w:rsidDel="00000000" w:rsidP="00000000" w:rsidRDefault="00000000" w:rsidRPr="00000000" w14:paraId="00000002">
      <w:pPr>
        <w:spacing w:after="120" w:line="240" w:lineRule="auto"/>
        <w:jc w:val="right"/>
        <w:rPr>
          <w:i w:val="1"/>
          <w:color w:val="000000"/>
        </w:rPr>
      </w:pPr>
      <w:r w:rsidDel="00000000" w:rsidR="00000000" w:rsidRPr="00000000">
        <w:rPr>
          <w:rtl w:val="0"/>
        </w:rPr>
      </w:r>
    </w:p>
    <w:p w:rsidR="00000000" w:rsidDel="00000000" w:rsidP="00000000" w:rsidRDefault="00000000" w:rsidRPr="00000000" w14:paraId="00000003">
      <w:pPr>
        <w:spacing w:after="120" w:line="240" w:lineRule="auto"/>
        <w:jc w:val="center"/>
        <w:rPr>
          <w:sz w:val="24"/>
          <w:szCs w:val="24"/>
        </w:rPr>
      </w:pPr>
      <w:r w:rsidDel="00000000" w:rsidR="00000000" w:rsidRPr="00000000">
        <w:rPr>
          <w:b w:val="1"/>
          <w:sz w:val="28"/>
          <w:szCs w:val="28"/>
          <w:rtl w:val="0"/>
        </w:rPr>
        <w:t xml:space="preserve">Politique d'accès aux matériels informatiques de l'Institut</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spacing w:after="240" w:line="240" w:lineRule="auto"/>
        <w:jc w:val="center"/>
        <w:rPr>
          <w:sz w:val="24"/>
          <w:szCs w:val="24"/>
        </w:rPr>
      </w:pPr>
      <w:r w:rsidDel="00000000" w:rsidR="00000000" w:rsidRPr="00000000">
        <w:rPr>
          <w:b w:val="1"/>
          <w:sz w:val="24"/>
          <w:szCs w:val="24"/>
          <w:rtl w:val="0"/>
        </w:rPr>
        <w:t xml:space="preserve">E</w:t>
      </w:r>
      <w:r w:rsidDel="00000000" w:rsidR="00000000" w:rsidRPr="00000000">
        <w:rPr>
          <w:b w:val="1"/>
          <w:color w:val="000000"/>
          <w:sz w:val="24"/>
          <w:szCs w:val="24"/>
          <w:rtl w:val="0"/>
        </w:rPr>
        <w:t xml:space="preserve">n vigueur depuis : </w:t>
      </w:r>
      <w:r w:rsidDel="00000000" w:rsidR="00000000" w:rsidRPr="00000000">
        <w:rPr>
          <w:b w:val="1"/>
          <w:sz w:val="24"/>
          <w:szCs w:val="24"/>
          <w:rtl w:val="0"/>
        </w:rPr>
        <w:t xml:space="preserve">20 mars</w:t>
      </w:r>
      <w:r w:rsidDel="00000000" w:rsidR="00000000" w:rsidRPr="00000000">
        <w:rPr>
          <w:b w:val="1"/>
          <w:color w:val="000000"/>
          <w:sz w:val="24"/>
          <w:szCs w:val="24"/>
          <w:rtl w:val="0"/>
        </w:rPr>
        <w:t xml:space="preserve"> 2024</w:t>
      </w:r>
      <w:r w:rsidDel="00000000" w:rsidR="00000000" w:rsidRPr="00000000">
        <w:rPr>
          <w:rtl w:val="0"/>
        </w:rPr>
      </w:r>
    </w:p>
    <w:tbl>
      <w:tblPr>
        <w:tblStyle w:val="Table1"/>
        <w:tblW w:w="9360.0" w:type="dxa"/>
        <w:jc w:val="left"/>
        <w:tblLayout w:type="fixed"/>
        <w:tblLook w:val="0400"/>
      </w:tblPr>
      <w:tblGrid>
        <w:gridCol w:w="2949"/>
        <w:gridCol w:w="6411"/>
        <w:tblGridChange w:id="0">
          <w:tblGrid>
            <w:gridCol w:w="2949"/>
            <w:gridCol w:w="6411"/>
          </w:tblGrid>
        </w:tblGridChange>
      </w:tblGrid>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5">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Objet et portée</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6">
            <w:pPr>
              <w:spacing w:after="0" w:before="120" w:line="240" w:lineRule="auto"/>
              <w:rPr>
                <w:sz w:val="24"/>
                <w:szCs w:val="24"/>
              </w:rPr>
            </w:pPr>
            <w:r w:rsidDel="00000000" w:rsidR="00000000" w:rsidRPr="00000000">
              <w:rPr>
                <w:color w:val="000000"/>
                <w:rtl w:val="0"/>
              </w:rPr>
              <w:t xml:space="preserve">L’objet de la présente politique est de fournir des lignes directrices sur la façon dont les équipes de consultation et les organismes constituants de l’IPFPC peuvent avoir accès aux biens de technologie de l’information (TI) de l’IPFPC dans le but de mener les consultations et les activités des organismes constituants.  </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7">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Matériel informatique </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08">
            <w:pPr>
              <w:spacing w:after="0" w:before="120" w:line="240" w:lineRule="auto"/>
              <w:rPr/>
            </w:pPr>
            <w:r w:rsidDel="00000000" w:rsidR="00000000" w:rsidRPr="00000000">
              <w:rPr>
                <w:color w:val="000000"/>
                <w:rtl w:val="0"/>
              </w:rPr>
              <w:t xml:space="preserve">Les président</w:t>
            </w:r>
            <w:r w:rsidDel="00000000" w:rsidR="00000000" w:rsidRPr="00000000">
              <w:rPr>
                <w:rtl w:val="0"/>
              </w:rPr>
              <w:t xml:space="preserve">·es des équipes de consultation et des organismes constituants peuvent recevoir un ordinateur portable de l’Institut pour mener à bien les activités de l’Institut. La demande d’ordinateur portable peut être faite auprès des services des TI de l’Institut et il sera restitué à la fin du mandat du/de la président·e d’équipe de consultation ou d’organisme constituant.</w:t>
            </w:r>
          </w:p>
          <w:p w:rsidR="00000000" w:rsidDel="00000000" w:rsidP="00000000" w:rsidRDefault="00000000" w:rsidRPr="00000000" w14:paraId="00000009">
            <w:pPr>
              <w:spacing w:after="0" w:before="120" w:line="240" w:lineRule="auto"/>
              <w:jc w:val="right"/>
              <w:rPr>
                <w:b w:val="1"/>
              </w:rPr>
            </w:pPr>
            <w:r w:rsidDel="00000000" w:rsidR="00000000" w:rsidRPr="00000000">
              <w:rPr>
                <w:b w:val="1"/>
                <w:rtl w:val="0"/>
              </w:rPr>
              <w:t xml:space="preserve">(CA – mar2024)</w:t>
            </w:r>
          </w:p>
          <w:p w:rsidR="00000000" w:rsidDel="00000000" w:rsidP="00000000" w:rsidRDefault="00000000" w:rsidRPr="00000000" w14:paraId="0000000A">
            <w:pPr>
              <w:spacing w:after="0" w:before="120" w:line="240" w:lineRule="auto"/>
              <w:rPr>
                <w:sz w:val="24"/>
                <w:szCs w:val="24"/>
              </w:rPr>
            </w:pPr>
            <w:r w:rsidDel="00000000" w:rsidR="00000000" w:rsidRPr="00000000">
              <w:rPr>
                <w:color w:val="000000"/>
                <w:rtl w:val="0"/>
              </w:rPr>
              <w:t xml:space="preserve">Un autre appareil peut être obtenu sur présentation </w:t>
            </w:r>
            <w:r w:rsidDel="00000000" w:rsidR="00000000" w:rsidRPr="00000000">
              <w:rPr>
                <w:rtl w:val="0"/>
              </w:rPr>
              <w:t xml:space="preserve">au Conseil d’administration par l’intermédiaire </w:t>
            </w:r>
            <w:r w:rsidDel="00000000" w:rsidR="00000000" w:rsidRPr="00000000">
              <w:rPr>
                <w:color w:val="000000"/>
                <w:rtl w:val="0"/>
              </w:rPr>
              <w:t xml:space="preserve">au bureau du secrétaire exécutif d’une demande motivée approuvée par l’Institut.</w:t>
            </w:r>
            <w:r w:rsidDel="00000000" w:rsidR="00000000" w:rsidRPr="00000000">
              <w:rPr>
                <w:rtl w:val="0"/>
              </w:rPr>
            </w:r>
          </w:p>
          <w:p w:rsidR="00000000" w:rsidDel="00000000" w:rsidP="00000000" w:rsidRDefault="00000000" w:rsidRPr="00000000" w14:paraId="0000000B">
            <w:pPr>
              <w:spacing w:after="0" w:before="120" w:line="240" w:lineRule="auto"/>
              <w:rPr>
                <w:sz w:val="24"/>
                <w:szCs w:val="24"/>
              </w:rPr>
            </w:pPr>
            <w:r w:rsidDel="00000000" w:rsidR="00000000" w:rsidRPr="00000000">
              <w:rPr>
                <w:color w:val="000000"/>
                <w:rtl w:val="0"/>
              </w:rPr>
              <w:t xml:space="preserve">Les affaires officielles de l’Institut comprennent, entre autres, les activités suivantes : </w:t>
            </w:r>
            <w:r w:rsidDel="00000000" w:rsidR="00000000" w:rsidRPr="00000000">
              <w:rPr>
                <w:rtl w:val="0"/>
              </w:rPr>
            </w:r>
          </w:p>
          <w:p w:rsidR="00000000" w:rsidDel="00000000" w:rsidP="00000000" w:rsidRDefault="00000000" w:rsidRPr="00000000" w14:paraId="0000000C">
            <w:pPr>
              <w:numPr>
                <w:ilvl w:val="0"/>
                <w:numId w:val="3"/>
              </w:numPr>
              <w:spacing w:after="0" w:line="240" w:lineRule="auto"/>
              <w:ind w:left="720" w:hanging="360"/>
              <w:rPr>
                <w:color w:val="000000"/>
              </w:rPr>
            </w:pPr>
            <w:r w:rsidDel="00000000" w:rsidR="00000000" w:rsidRPr="00000000">
              <w:rPr>
                <w:color w:val="000000"/>
                <w:rtl w:val="0"/>
              </w:rPr>
              <w:t xml:space="preserve">Négociations </w:t>
            </w:r>
          </w:p>
          <w:p w:rsidR="00000000" w:rsidDel="00000000" w:rsidP="00000000" w:rsidRDefault="00000000" w:rsidRPr="00000000" w14:paraId="0000000D">
            <w:pPr>
              <w:numPr>
                <w:ilvl w:val="0"/>
                <w:numId w:val="3"/>
              </w:numPr>
              <w:spacing w:after="0" w:line="240" w:lineRule="auto"/>
              <w:ind w:left="720" w:hanging="360"/>
              <w:rPr>
                <w:color w:val="000000"/>
              </w:rPr>
            </w:pPr>
            <w:r w:rsidDel="00000000" w:rsidR="00000000" w:rsidRPr="00000000">
              <w:rPr>
                <w:color w:val="000000"/>
                <w:rtl w:val="0"/>
              </w:rPr>
              <w:t xml:space="preserve">Consultation</w:t>
            </w:r>
          </w:p>
          <w:p w:rsidR="00000000" w:rsidDel="00000000" w:rsidP="00000000" w:rsidRDefault="00000000" w:rsidRPr="00000000" w14:paraId="0000000E">
            <w:pPr>
              <w:numPr>
                <w:ilvl w:val="0"/>
                <w:numId w:val="3"/>
              </w:numPr>
              <w:spacing w:after="0" w:line="240" w:lineRule="auto"/>
              <w:ind w:left="720" w:hanging="360"/>
              <w:rPr>
                <w:color w:val="000000"/>
              </w:rPr>
            </w:pPr>
            <w:r w:rsidDel="00000000" w:rsidR="00000000" w:rsidRPr="00000000">
              <w:rPr>
                <w:color w:val="000000"/>
                <w:rtl w:val="0"/>
              </w:rPr>
              <w:t xml:space="preserve">Représentation</w:t>
            </w:r>
          </w:p>
          <w:p w:rsidR="00000000" w:rsidDel="00000000" w:rsidP="00000000" w:rsidRDefault="00000000" w:rsidRPr="00000000" w14:paraId="0000000F">
            <w:pPr>
              <w:numPr>
                <w:ilvl w:val="0"/>
                <w:numId w:val="3"/>
              </w:numPr>
              <w:spacing w:after="0" w:line="240" w:lineRule="auto"/>
              <w:ind w:left="720" w:hanging="360"/>
              <w:rPr>
                <w:color w:val="000000"/>
              </w:rPr>
            </w:pPr>
            <w:r w:rsidDel="00000000" w:rsidR="00000000" w:rsidRPr="00000000">
              <w:rPr>
                <w:color w:val="000000"/>
                <w:rtl w:val="0"/>
              </w:rPr>
              <w:t xml:space="preserve">Réunions d’organismes constituants</w:t>
            </w:r>
          </w:p>
          <w:p w:rsidR="00000000" w:rsidDel="00000000" w:rsidP="00000000" w:rsidRDefault="00000000" w:rsidRPr="00000000" w14:paraId="00000010">
            <w:pPr>
              <w:numPr>
                <w:ilvl w:val="0"/>
                <w:numId w:val="3"/>
              </w:numPr>
              <w:spacing w:after="0" w:line="240" w:lineRule="auto"/>
              <w:ind w:left="720" w:hanging="360"/>
              <w:rPr>
                <w:color w:val="000000"/>
              </w:rPr>
            </w:pPr>
            <w:r w:rsidDel="00000000" w:rsidR="00000000" w:rsidRPr="00000000">
              <w:rPr>
                <w:color w:val="000000"/>
                <w:rtl w:val="0"/>
              </w:rPr>
              <w:t xml:space="preserve">Apprentissage et formation</w:t>
            </w:r>
          </w:p>
          <w:p w:rsidR="00000000" w:rsidDel="00000000" w:rsidP="00000000" w:rsidRDefault="00000000" w:rsidRPr="00000000" w14:paraId="00000011">
            <w:pPr>
              <w:numPr>
                <w:ilvl w:val="0"/>
                <w:numId w:val="3"/>
              </w:numPr>
              <w:spacing w:after="200" w:line="240" w:lineRule="auto"/>
              <w:ind w:left="720" w:hanging="360"/>
              <w:rPr>
                <w:color w:val="000000"/>
              </w:rPr>
            </w:pPr>
            <w:r w:rsidDel="00000000" w:rsidR="00000000" w:rsidRPr="00000000">
              <w:rPr>
                <w:color w:val="000000"/>
                <w:rtl w:val="0"/>
              </w:rPr>
              <w:t xml:space="preserve">Mobilisation</w:t>
            </w:r>
          </w:p>
          <w:p w:rsidR="00000000" w:rsidDel="00000000" w:rsidP="00000000" w:rsidRDefault="00000000" w:rsidRPr="00000000" w14:paraId="00000012">
            <w:pPr>
              <w:spacing w:after="0" w:before="120" w:line="240" w:lineRule="auto"/>
              <w:rPr>
                <w:b w:val="1"/>
              </w:rPr>
            </w:pPr>
            <w:r w:rsidDel="00000000" w:rsidR="00000000" w:rsidRPr="00000000">
              <w:rPr>
                <w:b w:val="1"/>
                <w:color w:val="000000"/>
                <w:rtl w:val="0"/>
              </w:rPr>
              <w:t xml:space="preserve">Remarque 1 :</w:t>
            </w:r>
            <w:r w:rsidDel="00000000" w:rsidR="00000000" w:rsidRPr="00000000">
              <w:rPr>
                <w:color w:val="000000"/>
                <w:rtl w:val="0"/>
              </w:rPr>
              <w:t xml:space="preserve"> Tout achat supplémentaire d’ordinateur portable ou personnel est effectué aux frais de l’organisme constituant et est soumis à l’approbation des membres lors de l’assemblée générale annuelle (AGA) de cet organisme. Les équipes de consultation doivent prévoir un budget pour tout bien de TI supplémentaire. </w:t>
            </w:r>
            <w:r w:rsidDel="00000000" w:rsidR="00000000" w:rsidRPr="00000000">
              <w:rPr>
                <w:b w:val="1"/>
                <w:rtl w:val="0"/>
              </w:rPr>
              <w:t xml:space="preserve">(CA – mar2024)</w:t>
            </w:r>
          </w:p>
          <w:p w:rsidR="00000000" w:rsidDel="00000000" w:rsidP="00000000" w:rsidRDefault="00000000" w:rsidRPr="00000000" w14:paraId="00000013">
            <w:pPr>
              <w:spacing w:after="0" w:before="120" w:line="240" w:lineRule="auto"/>
              <w:rPr>
                <w:sz w:val="24"/>
                <w:szCs w:val="24"/>
              </w:rPr>
            </w:pPr>
            <w:r w:rsidDel="00000000" w:rsidR="00000000" w:rsidRPr="00000000">
              <w:rPr>
                <w:b w:val="1"/>
                <w:color w:val="000000"/>
                <w:rtl w:val="0"/>
              </w:rPr>
              <w:t xml:space="preserve">Remarque 2</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rtl w:val="0"/>
              </w:rPr>
              <w:t xml:space="preserve">Si, pour une raison quelconque, un·e président·e d’équipe de consultation ou d’organisme constituant ne peut terminer son mandat, le bien de TI doit être remis à la personne qui le/la remplacera jusqu’à la fin du mandat. Si cette personne n’en a pas besoin, le bien de TI est retourné à l’Institut.</w:t>
            </w: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4">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Accommodements – matériel informatique supplémentaire</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5">
            <w:pPr>
              <w:spacing w:after="0" w:before="120" w:line="240" w:lineRule="auto"/>
              <w:rPr>
                <w:sz w:val="24"/>
                <w:szCs w:val="24"/>
              </w:rPr>
            </w:pPr>
            <w:r w:rsidDel="00000000" w:rsidR="00000000" w:rsidRPr="00000000">
              <w:rPr>
                <w:color w:val="000000"/>
                <w:rtl w:val="0"/>
              </w:rPr>
              <w:t xml:space="preserve">Sur approbation d’une demande d’accommodement soumis au service informatique de l’Institut, du matériel informatique supplémentaire sera fourni, dont ce qui suit :</w:t>
            </w:r>
            <w:r w:rsidDel="00000000" w:rsidR="00000000" w:rsidRPr="00000000">
              <w:rPr>
                <w:rtl w:val="0"/>
              </w:rPr>
            </w:r>
          </w:p>
          <w:p w:rsidR="00000000" w:rsidDel="00000000" w:rsidP="00000000" w:rsidRDefault="00000000" w:rsidRPr="00000000" w14:paraId="00000016">
            <w:pPr>
              <w:numPr>
                <w:ilvl w:val="0"/>
                <w:numId w:val="4"/>
              </w:numPr>
              <w:spacing w:after="0" w:before="120" w:line="240" w:lineRule="auto"/>
              <w:ind w:left="720" w:hanging="360"/>
              <w:rPr>
                <w:color w:val="000000"/>
              </w:rPr>
            </w:pPr>
            <w:r w:rsidDel="00000000" w:rsidR="00000000" w:rsidRPr="00000000">
              <w:rPr>
                <w:color w:val="000000"/>
                <w:rtl w:val="0"/>
              </w:rPr>
              <w:t xml:space="preserve">Clavier indépendant</w:t>
            </w:r>
          </w:p>
          <w:p w:rsidR="00000000" w:rsidDel="00000000" w:rsidP="00000000" w:rsidRDefault="00000000" w:rsidRPr="00000000" w14:paraId="00000017">
            <w:pPr>
              <w:numPr>
                <w:ilvl w:val="0"/>
                <w:numId w:val="4"/>
              </w:numPr>
              <w:spacing w:after="0" w:line="240" w:lineRule="auto"/>
              <w:ind w:left="720" w:hanging="360"/>
              <w:rPr>
                <w:color w:val="000000"/>
              </w:rPr>
            </w:pPr>
            <w:r w:rsidDel="00000000" w:rsidR="00000000" w:rsidRPr="00000000">
              <w:rPr>
                <w:color w:val="000000"/>
                <w:rtl w:val="0"/>
              </w:rPr>
              <w:t xml:space="preserve">Souris indépendante</w:t>
            </w:r>
          </w:p>
          <w:p w:rsidR="00000000" w:rsidDel="00000000" w:rsidP="00000000" w:rsidRDefault="00000000" w:rsidRPr="00000000" w14:paraId="00000018">
            <w:pPr>
              <w:numPr>
                <w:ilvl w:val="0"/>
                <w:numId w:val="4"/>
              </w:numPr>
              <w:spacing w:after="0" w:line="240" w:lineRule="auto"/>
              <w:ind w:left="720" w:hanging="360"/>
              <w:rPr>
                <w:color w:val="000000"/>
              </w:rPr>
            </w:pPr>
            <w:r w:rsidDel="00000000" w:rsidR="00000000" w:rsidRPr="00000000">
              <w:rPr>
                <w:color w:val="000000"/>
                <w:rtl w:val="0"/>
              </w:rPr>
              <w:t xml:space="preserve">Moniteur indépendant</w:t>
            </w:r>
          </w:p>
          <w:p w:rsidR="00000000" w:rsidDel="00000000" w:rsidP="00000000" w:rsidRDefault="00000000" w:rsidRPr="00000000" w14:paraId="00000019">
            <w:pPr>
              <w:numPr>
                <w:ilvl w:val="0"/>
                <w:numId w:val="4"/>
              </w:numPr>
              <w:spacing w:after="0" w:line="240" w:lineRule="auto"/>
              <w:ind w:left="720" w:hanging="360"/>
              <w:rPr>
                <w:color w:val="000000"/>
              </w:rPr>
            </w:pPr>
            <w:r w:rsidDel="00000000" w:rsidR="00000000" w:rsidRPr="00000000">
              <w:rPr>
                <w:color w:val="000000"/>
                <w:rtl w:val="0"/>
              </w:rPr>
              <w:t xml:space="preserve">Station d’accueil</w:t>
            </w:r>
          </w:p>
          <w:p w:rsidR="00000000" w:rsidDel="00000000" w:rsidP="00000000" w:rsidRDefault="00000000" w:rsidRPr="00000000" w14:paraId="0000001A">
            <w:pPr>
              <w:numPr>
                <w:ilvl w:val="0"/>
                <w:numId w:val="4"/>
              </w:numPr>
              <w:spacing w:after="0" w:line="240" w:lineRule="auto"/>
              <w:ind w:left="720" w:hanging="360"/>
              <w:rPr>
                <w:color w:val="000000"/>
              </w:rPr>
            </w:pPr>
            <w:r w:rsidDel="00000000" w:rsidR="00000000" w:rsidRPr="00000000">
              <w:rPr>
                <w:color w:val="000000"/>
                <w:rtl w:val="0"/>
              </w:rPr>
              <w:t xml:space="preserve">Casque d’écoute</w:t>
            </w:r>
          </w:p>
          <w:p w:rsidR="00000000" w:rsidDel="00000000" w:rsidP="00000000" w:rsidRDefault="00000000" w:rsidRPr="00000000" w14:paraId="0000001B">
            <w:pPr>
              <w:spacing w:after="0" w:before="120" w:line="240" w:lineRule="auto"/>
              <w:jc w:val="right"/>
              <w:rPr>
                <w:b w:val="1"/>
              </w:rPr>
            </w:pPr>
            <w:r w:rsidDel="00000000" w:rsidR="00000000" w:rsidRPr="00000000">
              <w:rPr>
                <w:b w:val="1"/>
                <w:rtl w:val="0"/>
              </w:rPr>
              <w:t xml:space="preserve">(CA – mar2024)</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C">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Biens de l’Institut </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1D">
            <w:pPr>
              <w:spacing w:after="0" w:before="120" w:line="240" w:lineRule="auto"/>
              <w:rPr>
                <w:color w:val="000000"/>
              </w:rPr>
            </w:pPr>
            <w:r w:rsidDel="00000000" w:rsidR="00000000" w:rsidRPr="00000000">
              <w:rPr>
                <w:color w:val="000000"/>
                <w:rtl w:val="0"/>
              </w:rPr>
              <w:t xml:space="preserve">Conformément à la </w:t>
            </w:r>
            <w:hyperlink r:id="rId7">
              <w:r w:rsidDel="00000000" w:rsidR="00000000" w:rsidRPr="00000000">
                <w:rPr>
                  <w:color w:val="0563c1"/>
                  <w:u w:val="single"/>
                  <w:rtl w:val="0"/>
                </w:rPr>
                <w:t xml:space="preserve">Politique sur l’allocation des organismes constituants</w:t>
              </w:r>
            </w:hyperlink>
            <w:r w:rsidDel="00000000" w:rsidR="00000000" w:rsidRPr="00000000">
              <w:rPr>
                <w:color w:val="000000"/>
                <w:rtl w:val="0"/>
              </w:rPr>
              <w:t xml:space="preserve">, les biens de TI d’une valeur supérieure à 200 $  sont la propriété de l’Institut. Le trésorier ou la trésorière d’un organisme constituant doit aviser l’Institut de tout achat, mouvement ou aliénation de biens.  </w:t>
            </w:r>
          </w:p>
          <w:p w:rsidR="00000000" w:rsidDel="00000000" w:rsidP="00000000" w:rsidRDefault="00000000" w:rsidRPr="00000000" w14:paraId="0000001E">
            <w:pPr>
              <w:spacing w:after="0" w:before="120" w:line="240" w:lineRule="auto"/>
              <w:rPr>
                <w:sz w:val="24"/>
                <w:szCs w:val="24"/>
              </w:rPr>
            </w:pPr>
            <w:r w:rsidDel="00000000" w:rsidR="00000000" w:rsidRPr="00000000">
              <w:rPr>
                <w:b w:val="1"/>
                <w:color w:val="000000"/>
                <w:rtl w:val="0"/>
              </w:rPr>
              <w:t xml:space="preserve">Ajouts :</w:t>
            </w:r>
            <w:r w:rsidDel="00000000" w:rsidR="00000000" w:rsidRPr="00000000">
              <w:rPr>
                <w:color w:val="222222"/>
                <w:highlight w:val="white"/>
                <w:rtl w:val="0"/>
              </w:rPr>
              <w:t xml:space="preserve"> Après une période minimale de deux ans, le bien peut être acheté par un membre de l’IPFPC pour son usage personnel. La valeur du bien sera déterminée par les TI de l’IPFPC conformément à la politique. Avant la vente, le bien doit être retourné au service des TI de l’IPFPC pour s’assurer que toute information sensible est supprimée.</w:t>
            </w:r>
            <w:r w:rsidDel="00000000" w:rsidR="00000000" w:rsidRPr="00000000">
              <w:rPr>
                <w:rtl w:val="0"/>
              </w:rPr>
            </w:r>
          </w:p>
          <w:p w:rsidR="00000000" w:rsidDel="00000000" w:rsidP="00000000" w:rsidRDefault="00000000" w:rsidRPr="00000000" w14:paraId="0000001F">
            <w:pPr>
              <w:numPr>
                <w:ilvl w:val="0"/>
                <w:numId w:val="5"/>
              </w:numPr>
              <w:spacing w:after="0" w:before="120" w:line="240" w:lineRule="auto"/>
              <w:ind w:left="720" w:hanging="360"/>
              <w:rPr>
                <w:color w:val="000000"/>
              </w:rPr>
            </w:pPr>
            <w:r w:rsidDel="00000000" w:rsidR="00000000" w:rsidRPr="00000000">
              <w:rPr>
                <w:color w:val="000000"/>
                <w:rtl w:val="0"/>
              </w:rPr>
              <w:t xml:space="preserve">Tous les biens de TI doivent être enregistrés auprès de l’Institut dans les dix jours suivant leur achat.</w:t>
            </w:r>
          </w:p>
          <w:p w:rsidR="00000000" w:rsidDel="00000000" w:rsidP="00000000" w:rsidRDefault="00000000" w:rsidRPr="00000000" w14:paraId="00000020">
            <w:pPr>
              <w:numPr>
                <w:ilvl w:val="0"/>
                <w:numId w:val="5"/>
              </w:numPr>
              <w:spacing w:after="0" w:line="240" w:lineRule="auto"/>
              <w:ind w:left="720" w:hanging="360"/>
              <w:rPr>
                <w:color w:val="000000"/>
              </w:rPr>
            </w:pPr>
            <w:r w:rsidDel="00000000" w:rsidR="00000000" w:rsidRPr="00000000">
              <w:rPr>
                <w:color w:val="000000"/>
                <w:rtl w:val="0"/>
              </w:rPr>
              <w:t xml:space="preserve">Un numéro de suivi de l’IPFPC sera attribué et étiqueté à chaque bien.</w:t>
            </w:r>
          </w:p>
          <w:p w:rsidR="00000000" w:rsidDel="00000000" w:rsidP="00000000" w:rsidRDefault="00000000" w:rsidRPr="00000000" w14:paraId="00000021">
            <w:pPr>
              <w:numPr>
                <w:ilvl w:val="0"/>
                <w:numId w:val="5"/>
              </w:numPr>
              <w:spacing w:after="200" w:line="240" w:lineRule="auto"/>
              <w:ind w:left="720" w:hanging="360"/>
              <w:rPr>
                <w:color w:val="000000"/>
              </w:rPr>
            </w:pPr>
            <w:r w:rsidDel="00000000" w:rsidR="00000000" w:rsidRPr="00000000">
              <w:rPr>
                <w:color w:val="000000"/>
                <w:rtl w:val="0"/>
              </w:rPr>
              <w:t xml:space="preserve">Tous les biens de TI en fin de vie utile sont retournés à l’Institut à des fins d’aliénation.</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2">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Fonctions et responsabilités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3">
            <w:pPr>
              <w:spacing w:after="0" w:before="120" w:line="240" w:lineRule="auto"/>
              <w:rPr>
                <w:sz w:val="24"/>
                <w:szCs w:val="24"/>
              </w:rPr>
            </w:pPr>
            <w:r w:rsidDel="00000000" w:rsidR="00000000" w:rsidRPr="00000000">
              <w:rPr>
                <w:color w:val="000000"/>
                <w:rtl w:val="0"/>
              </w:rPr>
              <w:t xml:space="preserve">Les fonctions des président·es  sont les suivantes :</w:t>
            </w:r>
            <w:r w:rsidDel="00000000" w:rsidR="00000000" w:rsidRPr="00000000">
              <w:rPr>
                <w:rtl w:val="0"/>
              </w:rPr>
            </w:r>
          </w:p>
          <w:p w:rsidR="00000000" w:rsidDel="00000000" w:rsidP="00000000" w:rsidRDefault="00000000" w:rsidRPr="00000000" w14:paraId="00000024">
            <w:pPr>
              <w:numPr>
                <w:ilvl w:val="0"/>
                <w:numId w:val="1"/>
              </w:numPr>
              <w:spacing w:after="0" w:before="120" w:line="240" w:lineRule="auto"/>
              <w:ind w:left="720" w:hanging="360"/>
              <w:rPr>
                <w:color w:val="000000"/>
              </w:rPr>
            </w:pPr>
            <w:r w:rsidDel="00000000" w:rsidR="00000000" w:rsidRPr="00000000">
              <w:rPr>
                <w:color w:val="000000"/>
                <w:rtl w:val="0"/>
              </w:rPr>
              <w:t xml:space="preserve">Prendre soin du bien et veiller à le garder en sûreté;</w:t>
            </w:r>
          </w:p>
          <w:p w:rsidR="00000000" w:rsidDel="00000000" w:rsidP="00000000" w:rsidRDefault="00000000" w:rsidRPr="00000000" w14:paraId="00000025">
            <w:pPr>
              <w:numPr>
                <w:ilvl w:val="0"/>
                <w:numId w:val="1"/>
              </w:numPr>
              <w:spacing w:after="0" w:line="240" w:lineRule="auto"/>
              <w:ind w:left="720" w:hanging="360"/>
              <w:rPr>
                <w:color w:val="000000"/>
              </w:rPr>
            </w:pPr>
            <w:r w:rsidDel="00000000" w:rsidR="00000000" w:rsidRPr="00000000">
              <w:rPr>
                <w:color w:val="000000"/>
                <w:rtl w:val="0"/>
              </w:rPr>
              <w:t xml:space="preserve">S’assurer que les logiciels du bien sont maintenus à jour;</w:t>
            </w:r>
          </w:p>
          <w:p w:rsidR="00000000" w:rsidDel="00000000" w:rsidP="00000000" w:rsidRDefault="00000000" w:rsidRPr="00000000" w14:paraId="00000026">
            <w:pPr>
              <w:numPr>
                <w:ilvl w:val="0"/>
                <w:numId w:val="1"/>
              </w:numPr>
              <w:spacing w:after="0" w:line="240" w:lineRule="auto"/>
              <w:ind w:left="720" w:hanging="360"/>
              <w:rPr>
                <w:color w:val="000000"/>
              </w:rPr>
            </w:pPr>
            <w:r w:rsidDel="00000000" w:rsidR="00000000" w:rsidRPr="00000000">
              <w:rPr>
                <w:color w:val="000000"/>
                <w:rtl w:val="0"/>
              </w:rPr>
              <w:t xml:space="preserve">Conserver le bien dans un sac approprié et en lieu sûr;</w:t>
            </w:r>
          </w:p>
          <w:p w:rsidR="00000000" w:rsidDel="00000000" w:rsidP="00000000" w:rsidRDefault="00000000" w:rsidRPr="00000000" w14:paraId="00000027">
            <w:pPr>
              <w:numPr>
                <w:ilvl w:val="0"/>
                <w:numId w:val="1"/>
              </w:numPr>
              <w:spacing w:after="200" w:line="240" w:lineRule="auto"/>
              <w:ind w:left="720" w:hanging="360"/>
              <w:rPr>
                <w:color w:val="000000"/>
              </w:rPr>
            </w:pPr>
            <w:r w:rsidDel="00000000" w:rsidR="00000000" w:rsidRPr="00000000">
              <w:rPr>
                <w:color w:val="000000"/>
                <w:rtl w:val="0"/>
              </w:rPr>
              <w:t xml:space="preserve">Ne pas installer de logiciels qui ne sont pas autorisés par l’Institut.</w:t>
            </w:r>
          </w:p>
          <w:p w:rsidR="00000000" w:rsidDel="00000000" w:rsidP="00000000" w:rsidRDefault="00000000" w:rsidRPr="00000000" w14:paraId="00000028">
            <w:pPr>
              <w:spacing w:after="0" w:before="120" w:line="240" w:lineRule="auto"/>
              <w:rPr>
                <w:sz w:val="24"/>
                <w:szCs w:val="24"/>
              </w:rPr>
            </w:pPr>
            <w:r w:rsidDel="00000000" w:rsidR="00000000" w:rsidRPr="00000000">
              <w:rPr>
                <w:color w:val="000000"/>
                <w:rtl w:val="0"/>
              </w:rPr>
              <w:t xml:space="preserve">La fonction du personnel des TI de l’IPFPC est la suivante :</w:t>
            </w:r>
            <w:r w:rsidDel="00000000" w:rsidR="00000000" w:rsidRPr="00000000">
              <w:rPr>
                <w:rtl w:val="0"/>
              </w:rPr>
            </w:r>
          </w:p>
          <w:p w:rsidR="00000000" w:rsidDel="00000000" w:rsidP="00000000" w:rsidRDefault="00000000" w:rsidRPr="00000000" w14:paraId="00000029">
            <w:pPr>
              <w:numPr>
                <w:ilvl w:val="0"/>
                <w:numId w:val="6"/>
              </w:numPr>
              <w:spacing w:after="200" w:before="120" w:line="240" w:lineRule="auto"/>
              <w:ind w:left="765" w:hanging="360"/>
              <w:rPr>
                <w:color w:val="000000"/>
              </w:rPr>
            </w:pPr>
            <w:r w:rsidDel="00000000" w:rsidR="00000000" w:rsidRPr="00000000">
              <w:rPr>
                <w:color w:val="000000"/>
                <w:rtl w:val="0"/>
              </w:rPr>
              <w:t xml:space="preserve">Maintenir le bien dans l’état dans lequel il a été confié. Le personnel des TI de l’IPFPC n’est pas responsable des logiciels non autorisés qui sont installés par des membres de l’IPFPC dans les biens de TI de l’IPFPC.</w:t>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A">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Finances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B">
            <w:pPr>
              <w:spacing w:after="0" w:line="240" w:lineRule="auto"/>
              <w:rPr>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C">
            <w:pPr>
              <w:numPr>
                <w:ilvl w:val="0"/>
                <w:numId w:val="2"/>
              </w:numPr>
              <w:spacing w:after="200" w:before="120" w:line="240" w:lineRule="auto"/>
              <w:ind w:left="360" w:hanging="360"/>
              <w:rPr>
                <w:b w:val="1"/>
                <w:color w:val="000000"/>
                <w:sz w:val="24"/>
                <w:szCs w:val="24"/>
              </w:rPr>
            </w:pPr>
            <w:r w:rsidDel="00000000" w:rsidR="00000000" w:rsidRPr="00000000">
              <w:rPr>
                <w:b w:val="1"/>
                <w:color w:val="000000"/>
                <w:sz w:val="24"/>
                <w:szCs w:val="24"/>
                <w:rtl w:val="0"/>
              </w:rPr>
              <w:t xml:space="preserve">Références</w:t>
            </w:r>
          </w:p>
        </w:tc>
        <w:tc>
          <w:tcPr>
            <w:tcBorders>
              <w:top w:color="000000" w:space="0" w:sz="4" w:val="single"/>
              <w:bottom w:color="000000" w:space="0" w:sz="4" w:val="single"/>
            </w:tcBorders>
            <w:tcMar>
              <w:top w:w="0.0" w:type="dxa"/>
              <w:left w:w="72.0" w:type="dxa"/>
              <w:bottom w:w="101.0" w:type="dxa"/>
              <w:right w:w="72.0" w:type="dxa"/>
            </w:tcMar>
          </w:tcPr>
          <w:p w:rsidR="00000000" w:rsidDel="00000000" w:rsidP="00000000" w:rsidRDefault="00000000" w:rsidRPr="00000000" w14:paraId="0000002D">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Revision">
    <w:name w:val="Revision"/>
    <w:hidden w:val="1"/>
    <w:uiPriority w:val="99"/>
    <w:semiHidden w:val="1"/>
    <w:rsid w:val="000F64AF"/>
    <w:pPr>
      <w:spacing w:after="0" w:line="240" w:lineRule="auto"/>
    </w:pPr>
  </w:style>
  <w:style w:type="character" w:styleId="CommentReference">
    <w:name w:val="annotation reference"/>
    <w:basedOn w:val="DefaultParagraphFont"/>
    <w:uiPriority w:val="99"/>
    <w:semiHidden w:val="1"/>
    <w:unhideWhenUsed w:val="1"/>
    <w:rsid w:val="000E18E5"/>
    <w:rPr>
      <w:sz w:val="16"/>
      <w:szCs w:val="16"/>
    </w:rPr>
  </w:style>
  <w:style w:type="paragraph" w:styleId="CommentText">
    <w:name w:val="annotation text"/>
    <w:basedOn w:val="Normal"/>
    <w:link w:val="CommentTextChar"/>
    <w:uiPriority w:val="99"/>
    <w:unhideWhenUsed w:val="1"/>
    <w:rsid w:val="000E18E5"/>
    <w:pPr>
      <w:spacing w:line="240" w:lineRule="auto"/>
    </w:pPr>
    <w:rPr>
      <w:sz w:val="20"/>
      <w:szCs w:val="20"/>
    </w:rPr>
  </w:style>
  <w:style w:type="character" w:styleId="CommentTextChar" w:customStyle="1">
    <w:name w:val="Comment Text Char"/>
    <w:basedOn w:val="DefaultParagraphFont"/>
    <w:link w:val="CommentText"/>
    <w:uiPriority w:val="99"/>
    <w:rsid w:val="000E18E5"/>
    <w:rPr>
      <w:sz w:val="20"/>
      <w:szCs w:val="20"/>
    </w:rPr>
  </w:style>
  <w:style w:type="paragraph" w:styleId="CommentSubject">
    <w:name w:val="annotation subject"/>
    <w:basedOn w:val="CommentText"/>
    <w:next w:val="CommentText"/>
    <w:link w:val="CommentSubjectChar"/>
    <w:uiPriority w:val="99"/>
    <w:semiHidden w:val="1"/>
    <w:unhideWhenUsed w:val="1"/>
    <w:rsid w:val="000E18E5"/>
    <w:rPr>
      <w:b w:val="1"/>
      <w:bCs w:val="1"/>
    </w:rPr>
  </w:style>
  <w:style w:type="character" w:styleId="CommentSubjectChar" w:customStyle="1">
    <w:name w:val="Comment Subject Char"/>
    <w:basedOn w:val="CommentTextChar"/>
    <w:link w:val="CommentSubject"/>
    <w:uiPriority w:val="99"/>
    <w:semiHidden w:val="1"/>
    <w:rsid w:val="000E18E5"/>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VyoKGGp2K9gk6UuH_2q_0PQu67qbtP-O/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fI8F7hQy91xJFVGK+gOfwIz0g==">CgMxLjAyCGguZ2pkZ3hzOAByITF3Q2M4elRhY0RqMFp4WG5DbHg2OUhmTktBZ3dLRHBaTQ==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2024-01-09T13:42:00Z</dcterms:created>
</cp:coreProperties>
</file>