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120" w:line="240" w:lineRule="auto"/>
        <w:jc w:val="center"/>
        <w:rPr>
          <w:b w:val="1"/>
          <w:sz w:val="28"/>
          <w:szCs w:val="28"/>
        </w:rPr>
      </w:pPr>
      <w:bookmarkStart w:colFirst="0" w:colLast="0" w:name="_heading=h.gjdgxs" w:id="0"/>
      <w:bookmarkEnd w:id="0"/>
      <w:r w:rsidDel="00000000" w:rsidR="00000000" w:rsidRPr="00000000">
        <w:rPr>
          <w:b w:val="1"/>
          <w:sz w:val="28"/>
          <w:szCs w:val="28"/>
          <w:rtl w:val="0"/>
        </w:rPr>
        <w:t xml:space="preserve">Politique du Conseil d’administration sur la gouvernance </w:t>
      </w:r>
    </w:p>
    <w:p w:rsidR="00000000" w:rsidDel="00000000" w:rsidP="00000000" w:rsidRDefault="00000000" w:rsidRPr="00000000" w14:paraId="00000002">
      <w:pPr>
        <w:pageBreakBefore w:val="0"/>
        <w:spacing w:after="240" w:line="240" w:lineRule="auto"/>
        <w:jc w:val="center"/>
        <w:rPr/>
      </w:pPr>
      <w:bookmarkStart w:colFirst="0" w:colLast="0" w:name="_heading=h.30j0zll" w:id="1"/>
      <w:bookmarkEnd w:id="1"/>
      <w:r w:rsidDel="00000000" w:rsidR="00000000" w:rsidRPr="00000000">
        <w:rPr>
          <w:b w:val="1"/>
          <w:sz w:val="24"/>
          <w:szCs w:val="24"/>
          <w:rtl w:val="0"/>
        </w:rPr>
        <w:t xml:space="preserve">En vigueur depuis : juin 2019</w:t>
      </w:r>
      <w:r w:rsidDel="00000000" w:rsidR="00000000" w:rsidRPr="00000000">
        <w:rPr>
          <w:rtl w:val="0"/>
        </w:rPr>
      </w:r>
    </w:p>
    <w:tbl>
      <w:tblPr>
        <w:tblStyle w:val="Table1"/>
        <w:tblW w:w="9972.0" w:type="dxa"/>
        <w:jc w:val="left"/>
        <w:tblInd w:w="-72.0" w:type="dxa"/>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628"/>
        <w:gridCol w:w="7344"/>
        <w:tblGridChange w:id="0">
          <w:tblGrid>
            <w:gridCol w:w="2628"/>
            <w:gridCol w:w="7344"/>
          </w:tblGrid>
        </w:tblGridChange>
      </w:tblGrid>
      <w:tr>
        <w:trPr>
          <w:cantSplit w:val="0"/>
          <w:tblHeader w:val="0"/>
        </w:trPr>
        <w:tc>
          <w:tcPr/>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But et portée</w:t>
            </w:r>
            <w:r w:rsidDel="00000000" w:rsidR="00000000" w:rsidRPr="00000000">
              <w:rPr>
                <w:rtl w:val="0"/>
              </w:rPr>
            </w:r>
          </w:p>
        </w:tc>
        <w:tc>
          <w:tcPr/>
          <w:p w:rsidR="00000000" w:rsidDel="00000000" w:rsidP="00000000" w:rsidRDefault="00000000" w:rsidRPr="00000000" w14:paraId="00000004">
            <w:pPr>
              <w:pageBreakBefore w:val="0"/>
              <w:spacing w:before="120" w:lineRule="auto"/>
              <w:rPr/>
            </w:pPr>
            <w:r w:rsidDel="00000000" w:rsidR="00000000" w:rsidRPr="00000000">
              <w:rPr>
                <w:rtl w:val="0"/>
              </w:rPr>
              <w:t xml:space="preserve">Guider l’élaboration et l’approbation des politiques de l’Institut. </w:t>
            </w:r>
          </w:p>
        </w:tc>
      </w:tr>
      <w:tr>
        <w:trPr>
          <w:cantSplit w:val="0"/>
          <w:tblHeader w:val="0"/>
        </w:trPr>
        <w:tc>
          <w:tcPr/>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But et fonctions des politiques de l’Institut</w:t>
            </w:r>
            <w:r w:rsidDel="00000000" w:rsidR="00000000" w:rsidRPr="00000000">
              <w:rPr>
                <w:rtl w:val="0"/>
              </w:rPr>
            </w:r>
          </w:p>
        </w:tc>
        <w:tc>
          <w:tcPr/>
          <w:p w:rsidR="00000000" w:rsidDel="00000000" w:rsidP="00000000" w:rsidRDefault="00000000" w:rsidRPr="00000000" w14:paraId="00000006">
            <w:pPr>
              <w:pageBreakBefore w:val="0"/>
              <w:spacing w:before="120" w:lineRule="auto"/>
              <w:rPr/>
            </w:pPr>
            <w:r w:rsidDel="00000000" w:rsidR="00000000" w:rsidRPr="00000000">
              <w:rPr>
                <w:rtl w:val="0"/>
              </w:rPr>
              <w:t xml:space="preserve">Guider les décisions et les actions des dirigeant(e)s élu(e)s, des membres et du personnel de l’Institut, à titre individuel ou collectif.</w:t>
            </w:r>
          </w:p>
          <w:p w:rsidR="00000000" w:rsidDel="00000000" w:rsidP="00000000" w:rsidRDefault="00000000" w:rsidRPr="00000000" w14:paraId="00000007">
            <w:pPr>
              <w:pageBreakBefore w:val="0"/>
              <w:spacing w:before="120" w:lineRule="auto"/>
              <w:rPr/>
            </w:pPr>
            <w:r w:rsidDel="00000000" w:rsidR="00000000" w:rsidRPr="00000000">
              <w:rPr>
                <w:rtl w:val="0"/>
              </w:rPr>
              <w:t xml:space="preserve">Les politiques visent à compléter et à clarifier les statuts de l’Institut.</w:t>
            </w:r>
          </w:p>
        </w:tc>
      </w:tr>
      <w:tr>
        <w:trPr>
          <w:cantSplit w:val="0"/>
          <w:tblHeader w:val="0"/>
        </w:trPr>
        <w:tc>
          <w:tcPr/>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Principes d’élaboration et de mise en œuvre des politiques </w:t>
            </w:r>
          </w:p>
        </w:tc>
        <w:tc>
          <w:tcPr/>
          <w:p w:rsidR="00000000" w:rsidDel="00000000" w:rsidP="00000000" w:rsidRDefault="00000000" w:rsidRPr="00000000" w14:paraId="00000009">
            <w:pPr>
              <w:pageBreakBefore w:val="0"/>
              <w:spacing w:before="120" w:lineRule="auto"/>
              <w:rPr>
                <w:rFonts w:ascii="Calibri" w:cs="Calibri" w:eastAsia="Calibri" w:hAnsi="Calibri"/>
              </w:rPr>
            </w:pPr>
            <w:r w:rsidDel="00000000" w:rsidR="00000000" w:rsidRPr="00000000">
              <w:rPr>
                <w:rFonts w:ascii="Calibri" w:cs="Calibri" w:eastAsia="Calibri" w:hAnsi="Calibri"/>
                <w:rtl w:val="0"/>
              </w:rPr>
              <w:t xml:space="preserve">Les politiques de l’Institut sont centrées sur un </w:t>
            </w:r>
            <w:r w:rsidDel="00000000" w:rsidR="00000000" w:rsidRPr="00000000">
              <w:rPr>
                <w:rFonts w:ascii="Calibri" w:cs="Calibri" w:eastAsia="Calibri" w:hAnsi="Calibri"/>
                <w:b w:val="1"/>
                <w:rtl w:val="0"/>
              </w:rPr>
              <w:t xml:space="preserve">but</w:t>
            </w:r>
            <w:r w:rsidDel="00000000" w:rsidR="00000000" w:rsidRPr="00000000">
              <w:rPr>
                <w:rFonts w:ascii="Calibri" w:cs="Calibri" w:eastAsia="Calibri" w:hAnsi="Calibri"/>
                <w:rtl w:val="0"/>
              </w:rPr>
              <w:t xml:space="preserve"> et des </w:t>
            </w:r>
            <w:r w:rsidDel="00000000" w:rsidR="00000000" w:rsidRPr="00000000">
              <w:rPr>
                <w:rFonts w:ascii="Calibri" w:cs="Calibri" w:eastAsia="Calibri" w:hAnsi="Calibri"/>
                <w:b w:val="1"/>
                <w:rtl w:val="0"/>
              </w:rPr>
              <w:t xml:space="preserve">valeurs</w:t>
            </w:r>
            <w:r w:rsidDel="00000000" w:rsidR="00000000" w:rsidRPr="00000000">
              <w:rPr>
                <w:rFonts w:ascii="Calibri" w:cs="Calibri" w:eastAsia="Calibri" w:hAnsi="Calibri"/>
                <w:rtl w:val="0"/>
              </w:rPr>
              <w:t xml:space="preserve"> et non des procédures, sauf dans les cas exceptionnels où des procédures particulières sont essentielles à l’atteinte des objectifs du Conseil d’administration.</w:t>
            </w:r>
          </w:p>
          <w:p w:rsidR="00000000" w:rsidDel="00000000" w:rsidP="00000000" w:rsidRDefault="00000000" w:rsidRPr="00000000" w14:paraId="0000000A">
            <w:pPr>
              <w:pageBreakBefore w:val="0"/>
              <w:spacing w:before="120" w:lineRule="auto"/>
              <w:rPr>
                <w:rFonts w:ascii="Calibri" w:cs="Calibri" w:eastAsia="Calibri" w:hAnsi="Calibri"/>
              </w:rPr>
            </w:pPr>
            <w:r w:rsidDel="00000000" w:rsidR="00000000" w:rsidRPr="00000000">
              <w:rPr>
                <w:rFonts w:ascii="Calibri" w:cs="Calibri" w:eastAsia="Calibri" w:hAnsi="Calibri"/>
                <w:rtl w:val="0"/>
              </w:rPr>
              <w:t xml:space="preserve">Les politiques de l’Institut sont élaborées et mises en œuvre dans un climat de </w:t>
            </w:r>
            <w:r w:rsidDel="00000000" w:rsidR="00000000" w:rsidRPr="00000000">
              <w:rPr>
                <w:rFonts w:ascii="Calibri" w:cs="Calibri" w:eastAsia="Calibri" w:hAnsi="Calibri"/>
                <w:b w:val="1"/>
                <w:rtl w:val="0"/>
              </w:rPr>
              <w:t xml:space="preserve">confiance</w:t>
            </w:r>
            <w:r w:rsidDel="00000000" w:rsidR="00000000" w:rsidRPr="00000000">
              <w:rPr>
                <w:rFonts w:ascii="Calibri" w:cs="Calibri" w:eastAsia="Calibri" w:hAnsi="Calibri"/>
                <w:rtl w:val="0"/>
              </w:rPr>
              <w:t xml:space="preserve">. Elles visent plus à orienter qu’à prescrire, dans la mesure du possible. </w:t>
            </w:r>
          </w:p>
          <w:p w:rsidR="00000000" w:rsidDel="00000000" w:rsidP="00000000" w:rsidRDefault="00000000" w:rsidRPr="00000000" w14:paraId="0000000B">
            <w:pPr>
              <w:pageBreakBefore w:val="0"/>
              <w:spacing w:before="120" w:lineRule="auto"/>
              <w:rPr>
                <w:rFonts w:ascii="Calibri" w:cs="Calibri" w:eastAsia="Calibri" w:hAnsi="Calibri"/>
              </w:rPr>
            </w:pPr>
            <w:r w:rsidDel="00000000" w:rsidR="00000000" w:rsidRPr="00000000">
              <w:rPr>
                <w:rFonts w:ascii="Calibri" w:cs="Calibri" w:eastAsia="Calibri" w:hAnsi="Calibri"/>
                <w:rtl w:val="0"/>
              </w:rPr>
              <w:t xml:space="preserve">Les politiques de l’Institut sont des </w:t>
            </w:r>
            <w:r w:rsidDel="00000000" w:rsidR="00000000" w:rsidRPr="00000000">
              <w:rPr>
                <w:rFonts w:ascii="Calibri" w:cs="Calibri" w:eastAsia="Calibri" w:hAnsi="Calibri"/>
                <w:b w:val="1"/>
                <w:rtl w:val="0"/>
              </w:rPr>
              <w:t xml:space="preserve">documents actifs qui orientent décisions et actions.</w:t>
            </w:r>
            <w:r w:rsidDel="00000000" w:rsidR="00000000" w:rsidRPr="00000000">
              <w:rPr>
                <w:rFonts w:ascii="Calibri" w:cs="Calibri" w:eastAsia="Calibri" w:hAnsi="Calibri"/>
                <w:rtl w:val="0"/>
              </w:rPr>
              <w:t xml:space="preserve"> Elles doivent être incluses dans toutes les activités d’orientation du Conseil et du (de la) président(e) et être faciles à consulter en tout temps.</w:t>
            </w:r>
          </w:p>
          <w:p w:rsidR="00000000" w:rsidDel="00000000" w:rsidP="00000000" w:rsidRDefault="00000000" w:rsidRPr="00000000" w14:paraId="0000000C">
            <w:pPr>
              <w:pageBreakBefore w:val="0"/>
              <w:spacing w:before="120" w:lineRule="auto"/>
              <w:rPr/>
            </w:pPr>
            <w:r w:rsidDel="00000000" w:rsidR="00000000" w:rsidRPr="00000000">
              <w:rPr>
                <w:rFonts w:ascii="Calibri" w:cs="Calibri" w:eastAsia="Calibri" w:hAnsi="Calibri"/>
                <w:rtl w:val="0"/>
              </w:rPr>
              <w:t xml:space="preserve">Le Conseil exerce sa </w:t>
            </w:r>
            <w:r w:rsidDel="00000000" w:rsidR="00000000" w:rsidRPr="00000000">
              <w:rPr>
                <w:rFonts w:ascii="Calibri" w:cs="Calibri" w:eastAsia="Calibri" w:hAnsi="Calibri"/>
                <w:b w:val="1"/>
                <w:rtl w:val="0"/>
              </w:rPr>
              <w:t xml:space="preserve">responsabilité fiduciaire</w:t>
            </w:r>
            <w:r w:rsidDel="00000000" w:rsidR="00000000" w:rsidRPr="00000000">
              <w:rPr>
                <w:rFonts w:ascii="Calibri" w:cs="Calibri" w:eastAsia="Calibri" w:hAnsi="Calibri"/>
                <w:rtl w:val="0"/>
              </w:rPr>
              <w:t xml:space="preserve"> en veillant à l’application des politiques. </w:t>
            </w:r>
            <w:r w:rsidDel="00000000" w:rsidR="00000000" w:rsidRPr="00000000">
              <w:rPr>
                <w:rtl w:val="0"/>
              </w:rPr>
            </w:r>
          </w:p>
        </w:tc>
      </w:tr>
      <w:tr>
        <w:trPr>
          <w:cantSplit w:val="0"/>
          <w:tblHeader w:val="0"/>
        </w:trPr>
        <w:tc>
          <w:tcPr/>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Processus d’élaboration et d’approbation des politiques</w:t>
            </w:r>
          </w:p>
        </w:tc>
        <w:tc>
          <w:tcPr/>
          <w:p w:rsidR="00000000" w:rsidDel="00000000" w:rsidP="00000000" w:rsidRDefault="00000000" w:rsidRPr="00000000" w14:paraId="0000000E">
            <w:pPr>
              <w:pageBreakBefore w:val="0"/>
              <w:spacing w:before="120" w:lineRule="auto"/>
              <w:rPr/>
            </w:pPr>
            <w:r w:rsidDel="00000000" w:rsidR="00000000" w:rsidRPr="00000000">
              <w:rPr>
                <w:rtl w:val="0"/>
              </w:rPr>
              <w:t xml:space="preserve">Le Conseil d’administration dirige le cadre d’élaboration et d’approbation des politiques de l’Institut en s’appuyant sur les recommandations du Comité des statuts et politiques (CSP), avec le soutien de la direction et du personnel de l’Institut. C’est le Conseil d’administration qui donne l’approbation finale à toutes ses politiques.</w:t>
            </w:r>
          </w:p>
          <w:p w:rsidR="00000000" w:rsidDel="00000000" w:rsidP="00000000" w:rsidRDefault="00000000" w:rsidRPr="00000000" w14:paraId="0000000F">
            <w:pPr>
              <w:pageBreakBefore w:val="0"/>
              <w:spacing w:before="120" w:lineRule="auto"/>
              <w:rPr/>
            </w:pPr>
            <w:r w:rsidDel="00000000" w:rsidR="00000000" w:rsidRPr="00000000">
              <w:rPr>
                <w:rtl w:val="0"/>
              </w:rPr>
              <w:t xml:space="preserve">Le Conseil détermine quel comité ou organisme est chargé de rédiger ou de modifier des politiques de l’Institut.</w:t>
            </w:r>
          </w:p>
          <w:p w:rsidR="00000000" w:rsidDel="00000000" w:rsidP="00000000" w:rsidRDefault="00000000" w:rsidRPr="00000000" w14:paraId="00000010">
            <w:pPr>
              <w:pageBreakBefore w:val="0"/>
              <w:spacing w:before="120" w:lineRule="auto"/>
              <w:rPr/>
            </w:pPr>
            <w:r w:rsidDel="00000000" w:rsidR="00000000" w:rsidRPr="00000000">
              <w:rPr>
                <w:rtl w:val="0"/>
              </w:rPr>
              <w:t xml:space="preserve">Les propositions ou les modifications de politiques doivent être soumises à l’examen du CSP avant d’être transmises au Conseil à des fins d’approbation.</w:t>
            </w:r>
          </w:p>
        </w:tc>
      </w:tr>
      <w:tr>
        <w:trPr>
          <w:cantSplit w:val="0"/>
          <w:tblHeader w:val="0"/>
        </w:trPr>
        <w:tc>
          <w:tcPr/>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Format</w:t>
            </w:r>
            <w:r w:rsidDel="00000000" w:rsidR="00000000" w:rsidRPr="00000000">
              <w:rPr>
                <w:rtl w:val="0"/>
              </w:rPr>
            </w:r>
          </w:p>
        </w:tc>
        <w:tc>
          <w:tcPr/>
          <w:p w:rsidR="00000000" w:rsidDel="00000000" w:rsidP="00000000" w:rsidRDefault="00000000" w:rsidRPr="00000000" w14:paraId="00000012">
            <w:pPr>
              <w:pageBreakBefore w:val="0"/>
              <w:spacing w:before="120" w:lineRule="auto"/>
              <w:rPr/>
            </w:pPr>
            <w:r w:rsidDel="00000000" w:rsidR="00000000" w:rsidRPr="00000000">
              <w:rPr>
                <w:rtl w:val="0"/>
              </w:rPr>
              <w:t xml:space="preserve">Chaque politique doit préciser sa date d’entrée en vigueur, qui correspond à la date de la dernière modification qui lui a été apportée. </w:t>
            </w:r>
          </w:p>
          <w:p w:rsidR="00000000" w:rsidDel="00000000" w:rsidP="00000000" w:rsidRDefault="00000000" w:rsidRPr="00000000" w14:paraId="00000013">
            <w:pPr>
              <w:pageBreakBefore w:val="0"/>
              <w:spacing w:before="120" w:lineRule="auto"/>
              <w:rPr/>
            </w:pPr>
            <w:r w:rsidDel="00000000" w:rsidR="00000000" w:rsidRPr="00000000">
              <w:rPr>
                <w:rtl w:val="0"/>
              </w:rPr>
              <w:t xml:space="preserve">De plus, l’auteur(e) de la modification la plus récente d’une disposition de politique doit être identifié(e) sous le titre de la disposition : (CA, date) ou (AGA, date). </w:t>
            </w:r>
          </w:p>
        </w:tc>
      </w:tr>
      <w:tr>
        <w:trPr>
          <w:cantSplit w:val="0"/>
          <w:tblHeader w:val="0"/>
        </w:trPr>
        <w:tc>
          <w:tcPr/>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Communication des politiques et modification des politiques</w:t>
            </w:r>
          </w:p>
        </w:tc>
        <w:tc>
          <w:tcPr/>
          <w:p w:rsidR="00000000" w:rsidDel="00000000" w:rsidP="00000000" w:rsidRDefault="00000000" w:rsidRPr="00000000" w14:paraId="00000015">
            <w:pPr>
              <w:pageBreakBefore w:val="0"/>
              <w:spacing w:before="120" w:lineRule="auto"/>
              <w:rPr/>
            </w:pPr>
            <w:r w:rsidDel="00000000" w:rsidR="00000000" w:rsidRPr="00000000">
              <w:rPr>
                <w:rtl w:val="0"/>
              </w:rPr>
              <w:t xml:space="preserve">Les nouvelles politiques et les changements de politique approuvés par le Conseil d’administration sont consignés dans les procès-verbaux du Conseil d’administration, qui sont mis à la disposition de l’ensemble des membres et du personnel de l’Institut. </w:t>
            </w:r>
          </w:p>
          <w:p w:rsidR="00000000" w:rsidDel="00000000" w:rsidP="00000000" w:rsidRDefault="00000000" w:rsidRPr="00000000" w14:paraId="00000016">
            <w:pPr>
              <w:pageBreakBefore w:val="0"/>
              <w:spacing w:before="120" w:lineRule="auto"/>
              <w:rPr/>
            </w:pPr>
            <w:r w:rsidDel="00000000" w:rsidR="00000000" w:rsidRPr="00000000">
              <w:rPr>
                <w:rtl w:val="0"/>
              </w:rPr>
              <w:t xml:space="preserve">Le personnel de l’Institut a la responsabilité de mettre en ligne les politiques nouvelles et modifiées de l’Institut ainsi que les avis de modification de ces politiques, le cas échéant, sur le site Web de l’Institut.</w:t>
            </w:r>
          </w:p>
        </w:tc>
      </w:tr>
      <w:tr>
        <w:trPr>
          <w:cantSplit w:val="0"/>
          <w:tblHeader w:val="0"/>
        </w:trPr>
        <w:tc>
          <w:tcPr/>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Examen, surveillance et évaluation</w:t>
            </w:r>
            <w:r w:rsidDel="00000000" w:rsidR="00000000" w:rsidRPr="00000000">
              <w:rPr>
                <w:rtl w:val="0"/>
              </w:rPr>
            </w:r>
          </w:p>
        </w:tc>
        <w:tc>
          <w:tcPr/>
          <w:p w:rsidR="00000000" w:rsidDel="00000000" w:rsidP="00000000" w:rsidRDefault="00000000" w:rsidRPr="00000000" w14:paraId="00000018">
            <w:pPr>
              <w:pageBreakBefore w:val="0"/>
              <w:spacing w:before="120" w:lineRule="auto"/>
              <w:rPr/>
            </w:pPr>
            <w:r w:rsidDel="00000000" w:rsidR="00000000" w:rsidRPr="00000000">
              <w:rPr>
                <w:rtl w:val="0"/>
              </w:rPr>
              <w:t xml:space="preserve">Le Comité des statuts et politiques a la responsabilité d’établir un processus de surveillance et d’évaluation de l’application des politiques de l’Institut et fait rapport chaque année au Conseil d’administration sur ses activités de surveillance et d’évaluation des politiques de l’Institut. </w:t>
            </w:r>
          </w:p>
        </w:tc>
      </w:tr>
      <w:tr>
        <w:trPr>
          <w:cantSplit w:val="0"/>
          <w:tblHeader w:val="0"/>
        </w:trPr>
        <w:tc>
          <w:tcPr/>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Référence</w:t>
            </w:r>
            <w:r w:rsidDel="00000000" w:rsidR="00000000" w:rsidRPr="00000000">
              <w:rPr>
                <w:rtl w:val="0"/>
              </w:rPr>
            </w:r>
          </w:p>
        </w:tc>
        <w:tc>
          <w:tcPr/>
          <w:p w:rsidR="00000000" w:rsidDel="00000000" w:rsidP="00000000" w:rsidRDefault="00000000" w:rsidRPr="00000000" w14:paraId="0000001A">
            <w:pPr>
              <w:pageBreakBefore w:val="0"/>
              <w:spacing w:before="120" w:lineRule="auto"/>
              <w:rPr/>
            </w:pPr>
            <w:r w:rsidDel="00000000" w:rsidR="00000000" w:rsidRPr="00000000">
              <w:rPr>
                <w:rtl w:val="0"/>
              </w:rPr>
              <w:t xml:space="preserve">Article 17.2 des statuts (Comité des statuts et politiques)</w:t>
            </w:r>
          </w:p>
        </w:tc>
      </w:tr>
    </w:tbl>
    <w:p w:rsidR="00000000" w:rsidDel="00000000" w:rsidP="00000000" w:rsidRDefault="00000000" w:rsidRPr="00000000" w14:paraId="0000001B">
      <w:pPr>
        <w:pageBreakBefore w:val="0"/>
        <w:rPr>
          <w:sz w:val="24"/>
          <w:szCs w:val="24"/>
        </w:rPr>
      </w:pPr>
      <w:r w:rsidDel="00000000" w:rsidR="00000000" w:rsidRPr="00000000">
        <w:rPr>
          <w:rtl w:val="0"/>
        </w:rPr>
      </w:r>
    </w:p>
    <w:p w:rsidR="00000000" w:rsidDel="00000000" w:rsidP="00000000" w:rsidRDefault="00000000" w:rsidRPr="00000000" w14:paraId="0000001C">
      <w:pPr>
        <w:pageBreakBefore w:val="0"/>
        <w:rPr>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0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Board Policy Manual</w:t>
      <w:tab/>
      <w:tab/>
    </w:r>
    <w:r w:rsidDel="00000000" w:rsidR="00000000" w:rsidRPr="00000000">
      <w:rPr>
        <w:rFonts w:ascii="Calibri" w:cs="Calibri" w:eastAsia="Calibri" w:hAnsi="Calibri"/>
        <w:b w:val="0"/>
        <w:i w:val="0"/>
        <w:smallCaps w:val="0"/>
        <w:strike w:val="0"/>
        <w:color w:val="7f7f7f"/>
        <w:sz w:val="20"/>
        <w:szCs w:val="20"/>
        <w:u w:val="none"/>
        <w:shd w:fill="auto" w:val="clear"/>
        <w:vertAlign w:val="baseline"/>
        <w:rtl w:val="0"/>
      </w:rPr>
      <w:t xml:space="preserve">Page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1 -</w:t>
    </w:r>
  </w:p>
  <w:p w:rsidR="00000000" w:rsidDel="00000000" w:rsidP="00000000" w:rsidRDefault="00000000" w:rsidRPr="00000000" w14:paraId="00000027">
    <w:pPr>
      <w:pageBreakBefore w:val="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Manuel des politiques du Conseil</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Page |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242879" cy="746584"/>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42879" cy="746584"/>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F76B7"/>
    <w:rPr>
      <w:rFonts w:asciiTheme="minorHAnsi" w:hAnsiTheme="minorHAns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97D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97DBB"/>
    <w:rPr>
      <w:rFonts w:ascii="Tahoma" w:cs="Tahoma" w:hAnsi="Tahoma"/>
      <w:sz w:val="16"/>
      <w:szCs w:val="16"/>
    </w:rPr>
  </w:style>
  <w:style w:type="paragraph" w:styleId="Header">
    <w:name w:val="header"/>
    <w:basedOn w:val="Normal"/>
    <w:link w:val="HeaderChar"/>
    <w:uiPriority w:val="99"/>
    <w:unhideWhenUsed w:val="1"/>
    <w:rsid w:val="001C6CC8"/>
    <w:pPr>
      <w:tabs>
        <w:tab w:val="center" w:pos="4680"/>
        <w:tab w:val="right" w:pos="9360"/>
      </w:tabs>
      <w:spacing w:after="0" w:line="240" w:lineRule="auto"/>
    </w:pPr>
  </w:style>
  <w:style w:type="character" w:styleId="HeaderChar" w:customStyle="1">
    <w:name w:val="Header Char"/>
    <w:basedOn w:val="DefaultParagraphFont"/>
    <w:link w:val="Header"/>
    <w:uiPriority w:val="99"/>
    <w:rsid w:val="001C6CC8"/>
  </w:style>
  <w:style w:type="paragraph" w:styleId="Footer">
    <w:name w:val="footer"/>
    <w:basedOn w:val="Normal"/>
    <w:link w:val="FooterChar"/>
    <w:uiPriority w:val="99"/>
    <w:unhideWhenUsed w:val="1"/>
    <w:rsid w:val="001C6CC8"/>
    <w:pPr>
      <w:tabs>
        <w:tab w:val="center" w:pos="4680"/>
        <w:tab w:val="right" w:pos="9360"/>
      </w:tabs>
      <w:spacing w:after="0" w:line="240" w:lineRule="auto"/>
    </w:pPr>
  </w:style>
  <w:style w:type="character" w:styleId="FooterChar" w:customStyle="1">
    <w:name w:val="Footer Char"/>
    <w:basedOn w:val="DefaultParagraphFont"/>
    <w:link w:val="Footer"/>
    <w:uiPriority w:val="99"/>
    <w:rsid w:val="001C6CC8"/>
  </w:style>
  <w:style w:type="paragraph" w:styleId="ListParagraph">
    <w:name w:val="List Paragraph"/>
    <w:basedOn w:val="Normal"/>
    <w:uiPriority w:val="34"/>
    <w:qFormat w:val="1"/>
    <w:rsid w:val="005A42AA"/>
    <w:pPr>
      <w:ind w:left="720"/>
      <w:contextualSpacing w:val="1"/>
    </w:pPr>
  </w:style>
  <w:style w:type="table" w:styleId="TableGrid">
    <w:name w:val="Table Grid"/>
    <w:basedOn w:val="TableNormal"/>
    <w:uiPriority w:val="59"/>
    <w:rsid w:val="0001430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9F76B7"/>
    <w:rPr>
      <w:b w:val="1"/>
      <w:bCs w:val="1"/>
    </w:rPr>
  </w:style>
  <w:style w:type="paragraph" w:styleId="TOC1">
    <w:name w:val="toc 1"/>
    <w:basedOn w:val="Normal"/>
    <w:next w:val="Normal"/>
    <w:autoRedefine w:val="1"/>
    <w:uiPriority w:val="39"/>
    <w:unhideWhenUsed w:val="1"/>
    <w:rsid w:val="009F76B7"/>
    <w:pPr>
      <w:spacing w:after="100"/>
    </w:pPr>
  </w:style>
  <w:style w:type="paragraph" w:styleId="TOC2">
    <w:name w:val="toc 2"/>
    <w:basedOn w:val="Normal"/>
    <w:next w:val="Normal"/>
    <w:autoRedefine w:val="1"/>
    <w:uiPriority w:val="39"/>
    <w:unhideWhenUsed w:val="1"/>
    <w:rsid w:val="009F76B7"/>
    <w:pPr>
      <w:spacing w:after="100"/>
      <w:ind w:left="220"/>
    </w:pPr>
  </w:style>
  <w:style w:type="character" w:styleId="Hyperlink">
    <w:name w:val="Hyperlink"/>
    <w:basedOn w:val="DefaultParagraphFont"/>
    <w:uiPriority w:val="99"/>
    <w:unhideWhenUsed w:val="1"/>
    <w:rsid w:val="009F76B7"/>
    <w:rPr>
      <w:color w:val="0000ff" w:themeColor="hyperlink"/>
      <w:u w:val="single"/>
    </w:rPr>
  </w:style>
  <w:style w:type="paragraph" w:styleId="NormalWeb">
    <w:name w:val="Normal (Web)"/>
    <w:basedOn w:val="Normal"/>
    <w:uiPriority w:val="99"/>
    <w:semiHidden w:val="1"/>
    <w:unhideWhenUsed w:val="1"/>
    <w:rsid w:val="00E92973"/>
    <w:pPr>
      <w:spacing w:after="100" w:afterAutospacing="1" w:before="100" w:beforeAutospacing="1" w:line="240" w:lineRule="auto"/>
    </w:pPr>
    <w:rPr>
      <w:rFonts w:ascii="Times New Roman" w:cs="Times New Roman" w:hAnsi="Times New Roman" w:eastAsiaTheme="minorEastAsia"/>
      <w:sz w:val="24"/>
      <w:lang w:eastAsia="en-CA"/>
    </w:rPr>
  </w:style>
  <w:style w:type="character" w:styleId="fusionSegmentForReview" w:customStyle="1">
    <w:name w:val="fusionSegmentForReview"/>
    <w:rsid w:val="00D91A13"/>
    <w:rPr>
      <w:rFonts w:ascii="Courier New" w:cs="Courier New" w:hAnsi="Courier New"/>
      <w:b w:val="1"/>
      <w:vanish w:val="1"/>
      <w:color w:val="800080"/>
      <w:sz w:val="24"/>
      <w:shd w:color="auto" w:fill="ffff99" w:val="clear"/>
      <w:vertAlign w:val="sub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72.0" w:type="dxa"/>
        <w:bottom w:w="101.0" w:type="dxa"/>
        <w:right w:w="7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XJOXXIwl8x1GMf2lGnDuXMaN2g==">AMUW2mWNQbTxnTWnhH5a5Emgljirp7EaV5G9jjdtVBxh+mZG0nkZoCLRHH3LQfLRHm9xz4iTbcNWVTGIdOkNKbZKTAiYRKyRtOQR8MFJF/NGmvz9vEFBwA6ElM0N9s95VIImBPdKptp8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2019-09-18T15:17:00Z</dcterms:created>
  <dc:creator>Cindy Boyer</dc:creator>
</cp:coreProperties>
</file>