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30C6" w14:textId="77777777" w:rsidR="00BB2FD5" w:rsidRPr="009A2A3C" w:rsidRDefault="00000000" w:rsidP="00BB2FD5">
      <w:pPr>
        <w:spacing w:before="240" w:after="120"/>
        <w:jc w:val="right"/>
        <w:rPr>
          <w:bCs/>
          <w:i/>
          <w:lang w:val="fr-CA"/>
        </w:rPr>
      </w:pPr>
      <w:r>
        <w:rPr>
          <w:i/>
          <w:iCs/>
          <w:lang w:val="fr-CA"/>
        </w:rPr>
        <w:t>(Traduit de l’anglais)</w:t>
      </w:r>
    </w:p>
    <w:p w14:paraId="20591A30" w14:textId="77777777" w:rsidR="00050DFF" w:rsidRPr="009A2A3C" w:rsidRDefault="00000000">
      <w:pPr>
        <w:spacing w:before="240" w:after="120"/>
        <w:jc w:val="center"/>
        <w:rPr>
          <w:b/>
          <w:sz w:val="28"/>
          <w:szCs w:val="28"/>
          <w:lang w:val="fr-CA"/>
        </w:rPr>
      </w:pPr>
      <w:r>
        <w:rPr>
          <w:b/>
          <w:bCs/>
          <w:sz w:val="28"/>
          <w:szCs w:val="28"/>
          <w:lang w:val="fr-CA"/>
        </w:rPr>
        <w:t>Politique sur le personnel de l’Institut</w:t>
      </w:r>
    </w:p>
    <w:p w14:paraId="154E5977" w14:textId="0767D260" w:rsidR="00050DFF" w:rsidRPr="009A2A3C" w:rsidRDefault="00000000">
      <w:pPr>
        <w:spacing w:before="240" w:after="240"/>
        <w:jc w:val="center"/>
        <w:rPr>
          <w:b/>
          <w:sz w:val="24"/>
          <w:szCs w:val="24"/>
          <w:lang w:val="fr-CA"/>
        </w:rPr>
      </w:pPr>
      <w:r>
        <w:rPr>
          <w:b/>
          <w:bCs/>
          <w:sz w:val="24"/>
          <w:szCs w:val="24"/>
          <w:lang w:val="fr-CA"/>
        </w:rPr>
        <w:t xml:space="preserve">Date d’entrée en vigueur : </w:t>
      </w:r>
      <w:r w:rsidR="00DE5251">
        <w:rPr>
          <w:b/>
          <w:bCs/>
          <w:sz w:val="24"/>
          <w:szCs w:val="24"/>
          <w:lang w:val="fr-CA"/>
        </w:rPr>
        <w:t>mars 2023</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33"/>
        <w:gridCol w:w="2422"/>
        <w:gridCol w:w="233"/>
        <w:gridCol w:w="6239"/>
        <w:gridCol w:w="233"/>
      </w:tblGrid>
      <w:tr w:rsidR="004067C1" w:rsidRPr="00DE5251" w14:paraId="2DE0E43B" w14:textId="77777777">
        <w:trPr>
          <w:trHeight w:val="1025"/>
        </w:trPr>
        <w:tc>
          <w:tcPr>
            <w:tcW w:w="233" w:type="dxa"/>
            <w:tcBorders>
              <w:top w:val="nil"/>
              <w:left w:val="nil"/>
              <w:bottom w:val="nil"/>
              <w:right w:val="nil"/>
            </w:tcBorders>
            <w:tcMar>
              <w:top w:w="100" w:type="dxa"/>
              <w:left w:w="100" w:type="dxa"/>
              <w:bottom w:w="100" w:type="dxa"/>
              <w:right w:w="100" w:type="dxa"/>
            </w:tcMar>
          </w:tcPr>
          <w:p w14:paraId="79CADC48" w14:textId="77777777" w:rsidR="00050DFF" w:rsidRPr="009A2A3C" w:rsidRDefault="00000000">
            <w:pPr>
              <w:spacing w:before="240" w:after="240" w:line="240" w:lineRule="auto"/>
              <w:rPr>
                <w:sz w:val="24"/>
                <w:szCs w:val="24"/>
                <w:lang w:val="fr-CA"/>
              </w:rPr>
            </w:pPr>
            <w:r>
              <w:rPr>
                <w:sz w:val="24"/>
                <w:szCs w:val="24"/>
                <w:lang w:val="fr-CA"/>
              </w:rPr>
              <w:t xml:space="preserve"> </w:t>
            </w:r>
          </w:p>
        </w:tc>
        <w:tc>
          <w:tcPr>
            <w:tcW w:w="2654" w:type="dxa"/>
            <w:gridSpan w:val="2"/>
            <w:tcBorders>
              <w:top w:val="single" w:sz="8" w:space="0" w:color="000000"/>
              <w:left w:val="nil"/>
              <w:bottom w:val="single" w:sz="8" w:space="0" w:color="000000"/>
              <w:right w:val="nil"/>
            </w:tcBorders>
            <w:tcMar>
              <w:top w:w="100" w:type="dxa"/>
              <w:left w:w="100" w:type="dxa"/>
              <w:bottom w:w="100" w:type="dxa"/>
              <w:right w:w="100" w:type="dxa"/>
            </w:tcMar>
          </w:tcPr>
          <w:p w14:paraId="76719CE1" w14:textId="77777777" w:rsidR="00050DFF" w:rsidRDefault="00000000">
            <w:pPr>
              <w:spacing w:before="120" w:after="0"/>
              <w:ind w:left="360"/>
              <w:rPr>
                <w:b/>
                <w:sz w:val="24"/>
                <w:szCs w:val="24"/>
              </w:rPr>
            </w:pPr>
            <w:r>
              <w:rPr>
                <w:b/>
                <w:bCs/>
                <w:sz w:val="24"/>
                <w:szCs w:val="24"/>
                <w:lang w:val="fr-CA"/>
              </w:rPr>
              <w:t>1.</w:t>
            </w:r>
            <w:r>
              <w:rPr>
                <w:sz w:val="14"/>
                <w:szCs w:val="14"/>
                <w:lang w:val="fr-CA"/>
              </w:rPr>
              <w:t xml:space="preserve">      </w:t>
            </w:r>
            <w:r>
              <w:rPr>
                <w:b/>
                <w:bCs/>
                <w:sz w:val="24"/>
                <w:szCs w:val="24"/>
                <w:lang w:val="fr-CA"/>
              </w:rPr>
              <w:t>But et portée</w:t>
            </w:r>
          </w:p>
        </w:tc>
        <w:tc>
          <w:tcPr>
            <w:tcW w:w="6471"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F9C6523" w14:textId="77777777" w:rsidR="00050DFF" w:rsidRPr="009A2A3C" w:rsidRDefault="00000000">
            <w:pPr>
              <w:spacing w:before="120" w:after="0"/>
              <w:rPr>
                <w:sz w:val="24"/>
                <w:szCs w:val="24"/>
                <w:lang w:val="fr-CA"/>
              </w:rPr>
            </w:pPr>
            <w:r>
              <w:rPr>
                <w:sz w:val="24"/>
                <w:szCs w:val="24"/>
                <w:lang w:val="fr-CA"/>
              </w:rPr>
              <w:t>Cette politique a pour objet de décrire la relation entre les effectifs de l’Institut, d’une part, et les membres et dirigeant·e·s élu·e·s de l’Institut, d’autre part.</w:t>
            </w:r>
          </w:p>
        </w:tc>
      </w:tr>
      <w:tr w:rsidR="004067C1" w:rsidRPr="00DE5251" w14:paraId="2BD4B787" w14:textId="77777777">
        <w:trPr>
          <w:trHeight w:val="4280"/>
        </w:trPr>
        <w:tc>
          <w:tcPr>
            <w:tcW w:w="233" w:type="dxa"/>
            <w:tcBorders>
              <w:top w:val="nil"/>
              <w:left w:val="nil"/>
              <w:bottom w:val="nil"/>
              <w:right w:val="nil"/>
            </w:tcBorders>
            <w:shd w:val="clear" w:color="auto" w:fill="auto"/>
            <w:tcMar>
              <w:top w:w="100" w:type="dxa"/>
              <w:left w:w="100" w:type="dxa"/>
              <w:bottom w:w="100" w:type="dxa"/>
              <w:right w:w="100" w:type="dxa"/>
            </w:tcMar>
          </w:tcPr>
          <w:p w14:paraId="27A0704B" w14:textId="77777777" w:rsidR="00050DFF" w:rsidRPr="009A2A3C" w:rsidRDefault="00000000">
            <w:pPr>
              <w:spacing w:before="240" w:after="240" w:line="240" w:lineRule="auto"/>
              <w:rPr>
                <w:sz w:val="24"/>
                <w:szCs w:val="24"/>
                <w:lang w:val="fr-CA"/>
              </w:rPr>
            </w:pPr>
            <w:r>
              <w:rPr>
                <w:sz w:val="24"/>
                <w:szCs w:val="24"/>
                <w:lang w:val="fr-CA"/>
              </w:rPr>
              <w:t xml:space="preserve"> </w:t>
            </w:r>
          </w:p>
        </w:tc>
        <w:tc>
          <w:tcPr>
            <w:tcW w:w="265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0A8CD01" w14:textId="77777777" w:rsidR="00050DFF" w:rsidRDefault="00000000">
            <w:pPr>
              <w:spacing w:before="120" w:after="0"/>
              <w:ind w:left="360"/>
              <w:rPr>
                <w:b/>
                <w:bCs/>
                <w:sz w:val="24"/>
                <w:szCs w:val="24"/>
                <w:lang w:val="fr-CA"/>
              </w:rPr>
            </w:pPr>
            <w:r>
              <w:rPr>
                <w:sz w:val="24"/>
                <w:szCs w:val="24"/>
                <w:lang w:val="fr-CA"/>
              </w:rPr>
              <w:t>2.</w:t>
            </w:r>
            <w:r>
              <w:rPr>
                <w:sz w:val="14"/>
                <w:szCs w:val="14"/>
                <w:lang w:val="fr-CA"/>
              </w:rPr>
              <w:t xml:space="preserve">      </w:t>
            </w:r>
            <w:proofErr w:type="spellStart"/>
            <w:r>
              <w:rPr>
                <w:b/>
                <w:bCs/>
                <w:sz w:val="24"/>
                <w:szCs w:val="24"/>
                <w:lang w:val="fr-CA"/>
              </w:rPr>
              <w:t>Employé·e·s</w:t>
            </w:r>
            <w:proofErr w:type="spellEnd"/>
            <w:r>
              <w:rPr>
                <w:b/>
                <w:bCs/>
                <w:sz w:val="24"/>
                <w:szCs w:val="24"/>
                <w:lang w:val="fr-CA"/>
              </w:rPr>
              <w:t xml:space="preserve"> du Conseil</w:t>
            </w:r>
          </w:p>
          <w:p w14:paraId="5100C450" w14:textId="68ED63E4" w:rsidR="00DE5251" w:rsidRPr="00DE5251" w:rsidRDefault="00DE5251">
            <w:pPr>
              <w:spacing w:before="120" w:after="0"/>
              <w:ind w:left="360"/>
              <w:rPr>
                <w:b/>
                <w:bCs/>
                <w:sz w:val="24"/>
                <w:szCs w:val="24"/>
                <w:lang w:val="fr-CA"/>
              </w:rPr>
            </w:pPr>
            <w:r w:rsidRPr="00DE5251">
              <w:rPr>
                <w:b/>
                <w:bCs/>
                <w:sz w:val="24"/>
                <w:szCs w:val="24"/>
                <w:lang w:val="fr-CA"/>
              </w:rPr>
              <w:t>(CA</w:t>
            </w:r>
            <w:r>
              <w:rPr>
                <w:b/>
                <w:bCs/>
                <w:sz w:val="24"/>
                <w:szCs w:val="24"/>
                <w:lang w:val="fr-CA"/>
              </w:rPr>
              <w:t xml:space="preserve"> </w:t>
            </w:r>
            <w:r w:rsidRPr="00DE5251">
              <w:rPr>
                <w:b/>
                <w:bCs/>
                <w:sz w:val="24"/>
                <w:szCs w:val="24"/>
                <w:lang w:val="fr-CA"/>
              </w:rPr>
              <w:t xml:space="preserve">- </w:t>
            </w:r>
            <w:proofErr w:type="spellStart"/>
            <w:r w:rsidRPr="00DE5251">
              <w:rPr>
                <w:b/>
                <w:bCs/>
                <w:sz w:val="24"/>
                <w:szCs w:val="24"/>
                <w:lang w:val="fr-CA"/>
              </w:rPr>
              <w:t>mar</w:t>
            </w:r>
            <w:proofErr w:type="spellEnd"/>
            <w:r w:rsidRPr="00DE5251">
              <w:rPr>
                <w:b/>
                <w:bCs/>
                <w:sz w:val="24"/>
                <w:szCs w:val="24"/>
                <w:lang w:val="fr-CA"/>
              </w:rPr>
              <w:t xml:space="preserve"> 2023)</w:t>
            </w:r>
          </w:p>
        </w:tc>
        <w:tc>
          <w:tcPr>
            <w:tcW w:w="6471"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5780D73" w14:textId="22F0683C" w:rsidR="00050DFF" w:rsidRPr="009A2A3C" w:rsidRDefault="00000000">
            <w:pPr>
              <w:spacing w:before="120" w:after="0"/>
              <w:rPr>
                <w:sz w:val="24"/>
                <w:szCs w:val="24"/>
                <w:lang w:val="fr-CA"/>
              </w:rPr>
            </w:pPr>
            <w:r>
              <w:rPr>
                <w:sz w:val="24"/>
                <w:szCs w:val="24"/>
                <w:lang w:val="fr-CA"/>
              </w:rPr>
              <w:t>Le Conseil d’administration sélectionne et recrute le Comité de la haute direction (CHD), qui est composé du ou de la secrétaire général·e (SG), du ou de la directeur·trice général·e (DG), du ou de la directeur·trice des Services de négociation collective et de rémunération (DSNCR), du ou de la directeur·trice des Relations du travail (DRT), du ou de la conseiller·ère général·e aux affaires juridiques (CG) et du ou de la directeur·trice des ressources humaines (DRH); le CHD est responsable de la gestion et de l’administration de l’Institut. Le CHD est tenu de mettre en œuvre les politiques établies par le Conseil, et ce, dans le respect des lois pertinentes. Il est chargé de déterminer, dans les limites établies par le Conseil, par quels moyens les orientations et les politiques du Conseil seront exécutées et les résultats escomptés seront atteints.</w:t>
            </w:r>
          </w:p>
          <w:p w14:paraId="09A8CD32" w14:textId="5E8247C1" w:rsidR="00050DFF" w:rsidRPr="009A2A3C" w:rsidRDefault="00000000">
            <w:pPr>
              <w:spacing w:before="120" w:after="0"/>
              <w:rPr>
                <w:sz w:val="24"/>
                <w:szCs w:val="24"/>
                <w:lang w:val="fr-CA"/>
              </w:rPr>
            </w:pPr>
            <w:r>
              <w:rPr>
                <w:sz w:val="24"/>
                <w:szCs w:val="24"/>
                <w:lang w:val="fr-CA"/>
              </w:rPr>
              <w:t>Le CHD et ses membres relèvent du Conseil d’administration comme entité et sont donc responsable</w:t>
            </w:r>
            <w:r w:rsidR="009A2A3C">
              <w:rPr>
                <w:sz w:val="24"/>
                <w:szCs w:val="24"/>
                <w:lang w:val="fr-CA"/>
              </w:rPr>
              <w:t>s</w:t>
            </w:r>
            <w:r>
              <w:rPr>
                <w:sz w:val="24"/>
                <w:szCs w:val="24"/>
                <w:lang w:val="fr-CA"/>
              </w:rPr>
              <w:t xml:space="preserve"> devant le Conseil dans son ensemble plutôt que devant ses membres à titre individuel. La supervision quotidienne du CHD et de ses membres est déléguée à la présidence de l’Institut.</w:t>
            </w:r>
          </w:p>
        </w:tc>
      </w:tr>
      <w:tr w:rsidR="004067C1" w:rsidRPr="00DE5251" w14:paraId="62BB52BD" w14:textId="77777777">
        <w:trPr>
          <w:trHeight w:val="2270"/>
        </w:trPr>
        <w:tc>
          <w:tcPr>
            <w:tcW w:w="233" w:type="dxa"/>
            <w:tcBorders>
              <w:top w:val="nil"/>
              <w:left w:val="nil"/>
              <w:bottom w:val="nil"/>
              <w:right w:val="nil"/>
            </w:tcBorders>
            <w:shd w:val="clear" w:color="auto" w:fill="auto"/>
            <w:tcMar>
              <w:top w:w="100" w:type="dxa"/>
              <w:left w:w="100" w:type="dxa"/>
              <w:bottom w:w="100" w:type="dxa"/>
              <w:right w:w="100" w:type="dxa"/>
            </w:tcMar>
          </w:tcPr>
          <w:p w14:paraId="1A919102" w14:textId="77777777" w:rsidR="00050DFF" w:rsidRPr="009A2A3C" w:rsidRDefault="00000000">
            <w:pPr>
              <w:spacing w:before="240" w:after="240" w:line="240" w:lineRule="auto"/>
              <w:rPr>
                <w:sz w:val="24"/>
                <w:szCs w:val="24"/>
                <w:lang w:val="fr-CA"/>
              </w:rPr>
            </w:pPr>
            <w:r>
              <w:rPr>
                <w:sz w:val="24"/>
                <w:szCs w:val="24"/>
                <w:lang w:val="fr-CA"/>
              </w:rPr>
              <w:lastRenderedPageBreak/>
              <w:t xml:space="preserve"> </w:t>
            </w:r>
          </w:p>
        </w:tc>
        <w:tc>
          <w:tcPr>
            <w:tcW w:w="265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34CBFDD4" w14:textId="77777777" w:rsidR="00050DFF" w:rsidRDefault="00000000">
            <w:pPr>
              <w:spacing w:before="120" w:after="0"/>
              <w:ind w:left="360"/>
              <w:rPr>
                <w:b/>
                <w:bCs/>
                <w:sz w:val="24"/>
                <w:szCs w:val="24"/>
                <w:lang w:val="fr-CA"/>
              </w:rPr>
            </w:pPr>
            <w:r>
              <w:rPr>
                <w:b/>
                <w:bCs/>
                <w:sz w:val="24"/>
                <w:szCs w:val="24"/>
                <w:lang w:val="fr-CA"/>
              </w:rPr>
              <w:t>3.</w:t>
            </w:r>
            <w:r>
              <w:rPr>
                <w:sz w:val="14"/>
                <w:szCs w:val="14"/>
                <w:lang w:val="fr-CA"/>
              </w:rPr>
              <w:t xml:space="preserve">      </w:t>
            </w:r>
            <w:r>
              <w:rPr>
                <w:b/>
                <w:bCs/>
                <w:sz w:val="24"/>
                <w:szCs w:val="24"/>
                <w:lang w:val="fr-CA"/>
              </w:rPr>
              <w:t>Le Comité de la haute direction est responsable de tous les autres membres du personnel</w:t>
            </w:r>
          </w:p>
          <w:p w14:paraId="5D74C0D5" w14:textId="7969BFBB" w:rsidR="00DE5251" w:rsidRPr="009A2A3C" w:rsidRDefault="00DE5251">
            <w:pPr>
              <w:spacing w:before="120" w:after="0"/>
              <w:ind w:left="360"/>
              <w:rPr>
                <w:b/>
                <w:sz w:val="24"/>
                <w:szCs w:val="24"/>
                <w:lang w:val="fr-CA"/>
              </w:rPr>
            </w:pPr>
            <w:r w:rsidRPr="00DE5251">
              <w:rPr>
                <w:b/>
                <w:bCs/>
                <w:sz w:val="24"/>
                <w:szCs w:val="24"/>
                <w:lang w:val="fr-CA"/>
              </w:rPr>
              <w:t>(CA</w:t>
            </w:r>
            <w:r>
              <w:rPr>
                <w:b/>
                <w:bCs/>
                <w:sz w:val="24"/>
                <w:szCs w:val="24"/>
                <w:lang w:val="fr-CA"/>
              </w:rPr>
              <w:t xml:space="preserve"> </w:t>
            </w:r>
            <w:r w:rsidRPr="00DE5251">
              <w:rPr>
                <w:b/>
                <w:bCs/>
                <w:sz w:val="24"/>
                <w:szCs w:val="24"/>
                <w:lang w:val="fr-CA"/>
              </w:rPr>
              <w:t xml:space="preserve">- </w:t>
            </w:r>
            <w:proofErr w:type="spellStart"/>
            <w:r w:rsidRPr="00DE5251">
              <w:rPr>
                <w:b/>
                <w:bCs/>
                <w:sz w:val="24"/>
                <w:szCs w:val="24"/>
                <w:lang w:val="fr-CA"/>
              </w:rPr>
              <w:t>mar</w:t>
            </w:r>
            <w:proofErr w:type="spellEnd"/>
            <w:r w:rsidRPr="00DE5251">
              <w:rPr>
                <w:b/>
                <w:bCs/>
                <w:sz w:val="24"/>
                <w:szCs w:val="24"/>
                <w:lang w:val="fr-CA"/>
              </w:rPr>
              <w:t xml:space="preserve"> 2023)</w:t>
            </w:r>
          </w:p>
        </w:tc>
        <w:tc>
          <w:tcPr>
            <w:tcW w:w="6471"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31693AD" w14:textId="77777777" w:rsidR="00050DFF" w:rsidRPr="009A2A3C" w:rsidRDefault="00000000">
            <w:pPr>
              <w:spacing w:before="120" w:after="0"/>
              <w:rPr>
                <w:sz w:val="24"/>
                <w:szCs w:val="24"/>
                <w:lang w:val="fr-CA"/>
              </w:rPr>
            </w:pPr>
            <w:r>
              <w:rPr>
                <w:sz w:val="24"/>
                <w:szCs w:val="24"/>
                <w:lang w:val="fr-CA"/>
              </w:rPr>
              <w:t>Le Conseil d’administration délègue au CHD le pouvoir d’embaucher et de gérer tout le personnel de l’Institut.</w:t>
            </w:r>
          </w:p>
          <w:p w14:paraId="742C4E0E" w14:textId="77777777" w:rsidR="00050DFF" w:rsidRPr="009A2A3C" w:rsidRDefault="00000000">
            <w:pPr>
              <w:spacing w:before="120" w:after="0"/>
              <w:rPr>
                <w:sz w:val="24"/>
                <w:szCs w:val="24"/>
                <w:lang w:val="fr-CA"/>
              </w:rPr>
            </w:pPr>
            <w:r>
              <w:rPr>
                <w:sz w:val="24"/>
                <w:szCs w:val="24"/>
                <w:lang w:val="fr-CA"/>
              </w:rPr>
              <w:t>Le CHD est chargé de s’assurer que les conditions de travail respectent toutes les lois locales, provinciales, territoriales et fédérales, que ces conditions sont humaines et sécuritaires et que le personnel est traité de façon équitable et professionnelle.</w:t>
            </w:r>
          </w:p>
        </w:tc>
      </w:tr>
      <w:tr w:rsidR="004067C1" w:rsidRPr="00DE5251" w14:paraId="3A001646" w14:textId="77777777">
        <w:trPr>
          <w:trHeight w:val="5060"/>
        </w:trPr>
        <w:tc>
          <w:tcPr>
            <w:tcW w:w="233" w:type="dxa"/>
            <w:tcBorders>
              <w:top w:val="nil"/>
              <w:left w:val="nil"/>
              <w:bottom w:val="nil"/>
              <w:right w:val="nil"/>
            </w:tcBorders>
            <w:shd w:val="clear" w:color="auto" w:fill="auto"/>
            <w:tcMar>
              <w:top w:w="100" w:type="dxa"/>
              <w:left w:w="100" w:type="dxa"/>
              <w:bottom w:w="100" w:type="dxa"/>
              <w:right w:w="100" w:type="dxa"/>
            </w:tcMar>
          </w:tcPr>
          <w:p w14:paraId="47620CFA" w14:textId="77777777" w:rsidR="00050DFF" w:rsidRPr="009A2A3C" w:rsidRDefault="00000000">
            <w:pPr>
              <w:spacing w:before="240" w:after="240" w:line="240" w:lineRule="auto"/>
              <w:rPr>
                <w:sz w:val="24"/>
                <w:szCs w:val="24"/>
                <w:lang w:val="fr-CA"/>
              </w:rPr>
            </w:pPr>
            <w:r>
              <w:rPr>
                <w:sz w:val="24"/>
                <w:szCs w:val="24"/>
                <w:lang w:val="fr-CA"/>
              </w:rPr>
              <w:t xml:space="preserve"> </w:t>
            </w:r>
          </w:p>
        </w:tc>
        <w:tc>
          <w:tcPr>
            <w:tcW w:w="265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ECDD55F" w14:textId="77777777" w:rsidR="00050DFF" w:rsidRDefault="00000000">
            <w:pPr>
              <w:spacing w:before="120" w:after="0"/>
              <w:ind w:left="360"/>
              <w:rPr>
                <w:b/>
                <w:bCs/>
                <w:sz w:val="24"/>
                <w:szCs w:val="24"/>
                <w:lang w:val="fr-CA"/>
              </w:rPr>
            </w:pPr>
            <w:r>
              <w:rPr>
                <w:b/>
                <w:bCs/>
                <w:sz w:val="24"/>
                <w:szCs w:val="24"/>
                <w:lang w:val="fr-CA"/>
              </w:rPr>
              <w:t>4.</w:t>
            </w:r>
            <w:r>
              <w:rPr>
                <w:sz w:val="14"/>
                <w:szCs w:val="14"/>
                <w:lang w:val="fr-CA"/>
              </w:rPr>
              <w:t xml:space="preserve">      </w:t>
            </w:r>
            <w:r>
              <w:rPr>
                <w:b/>
                <w:bCs/>
                <w:sz w:val="24"/>
                <w:szCs w:val="24"/>
                <w:lang w:val="fr-CA"/>
              </w:rPr>
              <w:t>Orientation du Comité de la haute direction</w:t>
            </w:r>
          </w:p>
          <w:p w14:paraId="1798B760" w14:textId="7548802A" w:rsidR="00DE5251" w:rsidRPr="009A2A3C" w:rsidRDefault="00DE5251">
            <w:pPr>
              <w:spacing w:before="120" w:after="0"/>
              <w:ind w:left="360"/>
              <w:rPr>
                <w:b/>
                <w:sz w:val="24"/>
                <w:szCs w:val="24"/>
                <w:lang w:val="fr-CA"/>
              </w:rPr>
            </w:pPr>
            <w:r w:rsidRPr="00DE5251">
              <w:rPr>
                <w:b/>
                <w:bCs/>
                <w:sz w:val="24"/>
                <w:szCs w:val="24"/>
                <w:lang w:val="fr-CA"/>
              </w:rPr>
              <w:t>(CA</w:t>
            </w:r>
            <w:r>
              <w:rPr>
                <w:b/>
                <w:bCs/>
                <w:sz w:val="24"/>
                <w:szCs w:val="24"/>
                <w:lang w:val="fr-CA"/>
              </w:rPr>
              <w:t xml:space="preserve"> </w:t>
            </w:r>
            <w:r w:rsidRPr="00DE5251">
              <w:rPr>
                <w:b/>
                <w:bCs/>
                <w:sz w:val="24"/>
                <w:szCs w:val="24"/>
                <w:lang w:val="fr-CA"/>
              </w:rPr>
              <w:t xml:space="preserve">- </w:t>
            </w:r>
            <w:proofErr w:type="spellStart"/>
            <w:r w:rsidRPr="00DE5251">
              <w:rPr>
                <w:b/>
                <w:bCs/>
                <w:sz w:val="24"/>
                <w:szCs w:val="24"/>
                <w:lang w:val="fr-CA"/>
              </w:rPr>
              <w:t>mar</w:t>
            </w:r>
            <w:proofErr w:type="spellEnd"/>
            <w:r w:rsidRPr="00DE5251">
              <w:rPr>
                <w:b/>
                <w:bCs/>
                <w:sz w:val="24"/>
                <w:szCs w:val="24"/>
                <w:lang w:val="fr-CA"/>
              </w:rPr>
              <w:t xml:space="preserve"> 2023)</w:t>
            </w:r>
          </w:p>
        </w:tc>
        <w:tc>
          <w:tcPr>
            <w:tcW w:w="6471"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8BFAE92" w14:textId="77777777" w:rsidR="00050DFF" w:rsidRPr="009A2A3C" w:rsidRDefault="00000000">
            <w:pPr>
              <w:spacing w:before="120" w:after="0"/>
              <w:rPr>
                <w:sz w:val="24"/>
                <w:szCs w:val="24"/>
                <w:lang w:val="fr-CA"/>
              </w:rPr>
            </w:pPr>
            <w:r>
              <w:rPr>
                <w:sz w:val="24"/>
                <w:szCs w:val="24"/>
                <w:lang w:val="fr-CA"/>
              </w:rPr>
              <w:t>Le CHD devrait :</w:t>
            </w:r>
          </w:p>
          <w:p w14:paraId="4C9908EE" w14:textId="77777777" w:rsidR="00050DFF" w:rsidRPr="009A2A3C" w:rsidRDefault="00000000">
            <w:pPr>
              <w:spacing w:before="120" w:after="0"/>
              <w:ind w:left="460"/>
              <w:rPr>
                <w:sz w:val="24"/>
                <w:szCs w:val="24"/>
                <w:lang w:val="fr-CA"/>
              </w:rPr>
            </w:pPr>
            <w:r>
              <w:rPr>
                <w:sz w:val="24"/>
                <w:szCs w:val="24"/>
                <w:lang w:val="fr-CA"/>
              </w:rPr>
              <w:t>•</w:t>
            </w:r>
            <w:r>
              <w:rPr>
                <w:sz w:val="14"/>
                <w:szCs w:val="14"/>
                <w:lang w:val="fr-CA"/>
              </w:rPr>
              <w:t xml:space="preserve">        </w:t>
            </w:r>
            <w:r>
              <w:rPr>
                <w:sz w:val="24"/>
                <w:szCs w:val="24"/>
                <w:lang w:val="fr-CA"/>
              </w:rPr>
              <w:t xml:space="preserve">Établir et maintenir une structure, des politiques et des procédures de gestion pour gérer l’organisation de manière efficace et efficiente; </w:t>
            </w:r>
          </w:p>
          <w:p w14:paraId="25F86FE6" w14:textId="77777777" w:rsidR="00050DFF" w:rsidRPr="009A2A3C" w:rsidRDefault="00000000">
            <w:pPr>
              <w:spacing w:before="120" w:after="0"/>
              <w:ind w:left="460"/>
              <w:rPr>
                <w:sz w:val="24"/>
                <w:szCs w:val="24"/>
                <w:lang w:val="fr-CA"/>
              </w:rPr>
            </w:pPr>
            <w:r>
              <w:rPr>
                <w:sz w:val="24"/>
                <w:szCs w:val="24"/>
                <w:lang w:val="fr-CA"/>
              </w:rPr>
              <w:t>•</w:t>
            </w:r>
            <w:r>
              <w:rPr>
                <w:sz w:val="14"/>
                <w:szCs w:val="14"/>
                <w:lang w:val="fr-CA"/>
              </w:rPr>
              <w:t xml:space="preserve">        </w:t>
            </w:r>
            <w:r>
              <w:rPr>
                <w:sz w:val="24"/>
                <w:szCs w:val="24"/>
                <w:lang w:val="fr-CA"/>
              </w:rPr>
              <w:t>Élaborer et tenir à jour de bonnes politiques en matière de ressources humaines et d’administration, rassemblées dans un manuel qui est passé en revue par un·e conseiller·ère juridique et mis à la disposition du personnel et des membres du Conseil d’administration;</w:t>
            </w:r>
          </w:p>
          <w:p w14:paraId="46E99170" w14:textId="77777777" w:rsidR="00050DFF" w:rsidRPr="009A2A3C" w:rsidRDefault="00000000">
            <w:pPr>
              <w:spacing w:before="120" w:after="0"/>
              <w:ind w:left="460"/>
              <w:rPr>
                <w:sz w:val="24"/>
                <w:szCs w:val="24"/>
                <w:lang w:val="fr-CA"/>
              </w:rPr>
            </w:pPr>
            <w:r>
              <w:rPr>
                <w:sz w:val="24"/>
                <w:szCs w:val="24"/>
                <w:lang w:val="fr-CA"/>
              </w:rPr>
              <w:t>•</w:t>
            </w:r>
            <w:r>
              <w:rPr>
                <w:sz w:val="14"/>
                <w:szCs w:val="14"/>
                <w:lang w:val="fr-CA"/>
              </w:rPr>
              <w:t xml:space="preserve">        </w:t>
            </w:r>
            <w:r>
              <w:rPr>
                <w:sz w:val="24"/>
                <w:szCs w:val="24"/>
                <w:lang w:val="fr-CA"/>
              </w:rPr>
              <w:t>Veiller à ce que les décisions en matière d’emploi reposent sur les qualifications et la capacité des personnes à effectuer le travail;</w:t>
            </w:r>
          </w:p>
          <w:p w14:paraId="097D4916" w14:textId="77777777" w:rsidR="00050DFF" w:rsidRPr="009A2A3C" w:rsidRDefault="00000000">
            <w:pPr>
              <w:spacing w:before="120" w:after="0"/>
              <w:ind w:left="460"/>
              <w:rPr>
                <w:sz w:val="24"/>
                <w:szCs w:val="24"/>
                <w:lang w:val="fr-CA"/>
              </w:rPr>
            </w:pPr>
            <w:r>
              <w:rPr>
                <w:sz w:val="24"/>
                <w:szCs w:val="24"/>
                <w:lang w:val="fr-CA"/>
              </w:rPr>
              <w:t>•</w:t>
            </w:r>
            <w:r>
              <w:rPr>
                <w:sz w:val="14"/>
                <w:szCs w:val="14"/>
                <w:lang w:val="fr-CA"/>
              </w:rPr>
              <w:t xml:space="preserve">        </w:t>
            </w:r>
            <w:r>
              <w:rPr>
                <w:sz w:val="24"/>
                <w:szCs w:val="24"/>
                <w:lang w:val="fr-CA"/>
              </w:rPr>
              <w:t>Établir et maintenir des relations avec le personnel et ses syndicats qui cadrent avec les valeurs de l’Institut;</w:t>
            </w:r>
          </w:p>
          <w:p w14:paraId="26698AD7" w14:textId="77777777" w:rsidR="00050DFF" w:rsidRPr="009A2A3C" w:rsidRDefault="00000000">
            <w:pPr>
              <w:spacing w:before="120" w:after="0"/>
              <w:ind w:left="460"/>
              <w:rPr>
                <w:sz w:val="24"/>
                <w:szCs w:val="24"/>
                <w:lang w:val="fr-CA"/>
              </w:rPr>
            </w:pPr>
            <w:r>
              <w:rPr>
                <w:sz w:val="24"/>
                <w:szCs w:val="24"/>
                <w:lang w:val="fr-CA"/>
              </w:rPr>
              <w:t>•</w:t>
            </w:r>
            <w:r>
              <w:rPr>
                <w:sz w:val="14"/>
                <w:szCs w:val="14"/>
                <w:lang w:val="fr-CA"/>
              </w:rPr>
              <w:t xml:space="preserve">        </w:t>
            </w:r>
            <w:r>
              <w:rPr>
                <w:sz w:val="24"/>
                <w:szCs w:val="24"/>
                <w:lang w:val="fr-CA"/>
              </w:rPr>
              <w:t>Offrir une rémunération raisonnablement suffisante pour attirer et maintenir en poste les personnes possédant les compétences et l’expérience nécessaires à la réalisation de la mission de l’Institut.</w:t>
            </w:r>
          </w:p>
        </w:tc>
      </w:tr>
      <w:tr w:rsidR="004067C1" w:rsidRPr="00DE5251" w14:paraId="75D7EF25" w14:textId="77777777">
        <w:trPr>
          <w:trHeight w:val="1025"/>
        </w:trPr>
        <w:tc>
          <w:tcPr>
            <w:tcW w:w="233" w:type="dxa"/>
            <w:tcBorders>
              <w:top w:val="nil"/>
              <w:left w:val="nil"/>
              <w:bottom w:val="nil"/>
              <w:right w:val="nil"/>
            </w:tcBorders>
            <w:shd w:val="clear" w:color="auto" w:fill="auto"/>
            <w:tcMar>
              <w:top w:w="100" w:type="dxa"/>
              <w:left w:w="100" w:type="dxa"/>
              <w:bottom w:w="100" w:type="dxa"/>
              <w:right w:w="100" w:type="dxa"/>
            </w:tcMar>
          </w:tcPr>
          <w:p w14:paraId="30634FCD" w14:textId="77777777" w:rsidR="00050DFF" w:rsidRPr="009A2A3C" w:rsidRDefault="00000000">
            <w:pPr>
              <w:spacing w:before="240" w:after="240" w:line="240" w:lineRule="auto"/>
              <w:rPr>
                <w:sz w:val="24"/>
                <w:szCs w:val="24"/>
                <w:lang w:val="fr-CA"/>
              </w:rPr>
            </w:pPr>
            <w:r>
              <w:rPr>
                <w:sz w:val="24"/>
                <w:szCs w:val="24"/>
                <w:lang w:val="fr-CA"/>
              </w:rPr>
              <w:t xml:space="preserve"> </w:t>
            </w:r>
          </w:p>
        </w:tc>
        <w:tc>
          <w:tcPr>
            <w:tcW w:w="265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CF9332D" w14:textId="77777777" w:rsidR="00050DFF" w:rsidRPr="009A2A3C" w:rsidRDefault="00000000">
            <w:pPr>
              <w:spacing w:before="120" w:after="0"/>
              <w:ind w:left="360"/>
              <w:rPr>
                <w:b/>
                <w:sz w:val="24"/>
                <w:szCs w:val="24"/>
                <w:lang w:val="fr-CA"/>
              </w:rPr>
            </w:pPr>
            <w:r>
              <w:rPr>
                <w:b/>
                <w:bCs/>
                <w:sz w:val="24"/>
                <w:szCs w:val="24"/>
                <w:lang w:val="fr-CA"/>
              </w:rPr>
              <w:t>5.</w:t>
            </w:r>
            <w:r>
              <w:rPr>
                <w:sz w:val="14"/>
                <w:szCs w:val="14"/>
                <w:lang w:val="fr-CA"/>
              </w:rPr>
              <w:t xml:space="preserve">      </w:t>
            </w:r>
            <w:r>
              <w:rPr>
                <w:b/>
                <w:bCs/>
                <w:sz w:val="24"/>
                <w:szCs w:val="24"/>
                <w:lang w:val="fr-CA"/>
              </w:rPr>
              <w:t>Procès-verbaux du Comité de la haute direction</w:t>
            </w:r>
          </w:p>
        </w:tc>
        <w:tc>
          <w:tcPr>
            <w:tcW w:w="6471"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4AAA4038" w14:textId="77777777" w:rsidR="00050DFF" w:rsidRDefault="00000000">
            <w:pPr>
              <w:spacing w:before="120" w:after="0"/>
              <w:rPr>
                <w:sz w:val="24"/>
                <w:szCs w:val="24"/>
                <w:lang w:val="fr-CA"/>
              </w:rPr>
            </w:pPr>
            <w:r>
              <w:rPr>
                <w:sz w:val="24"/>
                <w:szCs w:val="24"/>
                <w:lang w:val="fr-CA"/>
              </w:rPr>
              <w:t>Les procès-verbaux du Comité de la haute direction, sauf ceux des séances à huis clos, sont remis aux membres du Conseil d’administration.</w:t>
            </w:r>
          </w:p>
          <w:p w14:paraId="2F2D3F08" w14:textId="299286C2" w:rsidR="00DE5251" w:rsidRPr="009A2A3C" w:rsidRDefault="00DE5251" w:rsidP="00DE5251">
            <w:pPr>
              <w:spacing w:before="120" w:after="0"/>
              <w:jc w:val="right"/>
              <w:rPr>
                <w:sz w:val="24"/>
                <w:szCs w:val="24"/>
                <w:lang w:val="fr-CA"/>
              </w:rPr>
            </w:pPr>
            <w:r w:rsidRPr="00DE5251">
              <w:rPr>
                <w:b/>
                <w:bCs/>
                <w:sz w:val="24"/>
                <w:szCs w:val="24"/>
                <w:lang w:val="fr-CA"/>
              </w:rPr>
              <w:t>(CA</w:t>
            </w:r>
            <w:r>
              <w:rPr>
                <w:b/>
                <w:bCs/>
                <w:sz w:val="24"/>
                <w:szCs w:val="24"/>
                <w:lang w:val="fr-CA"/>
              </w:rPr>
              <w:t xml:space="preserve"> </w:t>
            </w:r>
            <w:r w:rsidRPr="00DE5251">
              <w:rPr>
                <w:b/>
                <w:bCs/>
                <w:sz w:val="24"/>
                <w:szCs w:val="24"/>
                <w:lang w:val="fr-CA"/>
              </w:rPr>
              <w:t>- mar 2023)</w:t>
            </w:r>
          </w:p>
        </w:tc>
      </w:tr>
      <w:tr w:rsidR="004067C1" w:rsidRPr="00DE5251" w14:paraId="091E097F" w14:textId="77777777">
        <w:trPr>
          <w:trHeight w:val="4400"/>
        </w:trPr>
        <w:tc>
          <w:tcPr>
            <w:tcW w:w="233" w:type="dxa"/>
            <w:tcBorders>
              <w:top w:val="nil"/>
              <w:left w:val="nil"/>
              <w:bottom w:val="single" w:sz="8" w:space="0" w:color="000000"/>
              <w:right w:val="nil"/>
            </w:tcBorders>
            <w:shd w:val="clear" w:color="auto" w:fill="auto"/>
            <w:tcMar>
              <w:top w:w="100" w:type="dxa"/>
              <w:left w:w="100" w:type="dxa"/>
              <w:bottom w:w="100" w:type="dxa"/>
              <w:right w:w="100" w:type="dxa"/>
            </w:tcMar>
          </w:tcPr>
          <w:p w14:paraId="77FE4517" w14:textId="77777777" w:rsidR="00050DFF" w:rsidRPr="009A2A3C" w:rsidRDefault="00000000">
            <w:pPr>
              <w:spacing w:before="240" w:after="240" w:line="240" w:lineRule="auto"/>
              <w:rPr>
                <w:sz w:val="24"/>
                <w:szCs w:val="24"/>
                <w:lang w:val="fr-CA"/>
              </w:rPr>
            </w:pPr>
            <w:r>
              <w:rPr>
                <w:sz w:val="24"/>
                <w:szCs w:val="24"/>
                <w:lang w:val="fr-CA"/>
              </w:rPr>
              <w:lastRenderedPageBreak/>
              <w:t xml:space="preserve"> </w:t>
            </w:r>
          </w:p>
        </w:tc>
        <w:tc>
          <w:tcPr>
            <w:tcW w:w="265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70AD7DDC" w14:textId="77777777" w:rsidR="00050DFF" w:rsidRPr="009A2A3C" w:rsidRDefault="00000000">
            <w:pPr>
              <w:spacing w:before="120" w:after="0"/>
              <w:ind w:left="360"/>
              <w:rPr>
                <w:b/>
                <w:sz w:val="24"/>
                <w:szCs w:val="24"/>
                <w:lang w:val="fr-CA"/>
              </w:rPr>
            </w:pPr>
            <w:r>
              <w:rPr>
                <w:b/>
                <w:bCs/>
                <w:sz w:val="24"/>
                <w:szCs w:val="24"/>
                <w:lang w:val="fr-CA"/>
              </w:rPr>
              <w:t>6.</w:t>
            </w:r>
            <w:r>
              <w:rPr>
                <w:sz w:val="14"/>
                <w:szCs w:val="14"/>
                <w:lang w:val="fr-CA"/>
              </w:rPr>
              <w:t xml:space="preserve">      </w:t>
            </w:r>
            <w:r>
              <w:rPr>
                <w:b/>
                <w:bCs/>
                <w:sz w:val="24"/>
                <w:szCs w:val="24"/>
                <w:lang w:val="fr-CA"/>
              </w:rPr>
              <w:t>Interactions entre les membres et le personnel</w:t>
            </w:r>
          </w:p>
        </w:tc>
        <w:tc>
          <w:tcPr>
            <w:tcW w:w="6471"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4AC26086" w14:textId="326B6EB1" w:rsidR="00050DFF" w:rsidRPr="009A2A3C" w:rsidRDefault="00000000">
            <w:pPr>
              <w:spacing w:before="120" w:after="0"/>
              <w:rPr>
                <w:sz w:val="24"/>
                <w:szCs w:val="24"/>
                <w:lang w:val="fr-CA"/>
              </w:rPr>
            </w:pPr>
            <w:r>
              <w:rPr>
                <w:sz w:val="24"/>
                <w:szCs w:val="24"/>
                <w:lang w:val="fr-CA"/>
              </w:rPr>
              <w:t>Les membres et le personnel travaillent en partenariat pour réaliser les objectifs de l’Institut. Il existe une interdépendance entre les deux, qui les amènent à collaborer et à coopérer au profit de l’organisation et de ses membres.</w:t>
            </w:r>
          </w:p>
          <w:p w14:paraId="1DFDDB69" w14:textId="77777777" w:rsidR="00050DFF" w:rsidRDefault="00000000">
            <w:pPr>
              <w:spacing w:before="120" w:after="0"/>
              <w:rPr>
                <w:sz w:val="24"/>
                <w:szCs w:val="24"/>
                <w:lang w:val="fr-CA"/>
              </w:rPr>
            </w:pPr>
            <w:r>
              <w:rPr>
                <w:sz w:val="24"/>
                <w:szCs w:val="24"/>
                <w:lang w:val="fr-CA"/>
              </w:rPr>
              <w:t xml:space="preserve">Le type et le niveau de ressources fournies aux organismes constituants  ainsi que les responsabilités qui en découlent sont déterminés à la discrétion du Comité de la haute direction. Ni les organismes constituants ni leurs membres ne donnent directement d’ordres au personnel de l’Institut, bien que les organismes constituants </w:t>
            </w:r>
            <w:proofErr w:type="gramStart"/>
            <w:r>
              <w:rPr>
                <w:sz w:val="24"/>
                <w:szCs w:val="24"/>
                <w:lang w:val="fr-CA"/>
              </w:rPr>
              <w:t>peuvent</w:t>
            </w:r>
            <w:proofErr w:type="gramEnd"/>
            <w:r>
              <w:rPr>
                <w:sz w:val="24"/>
                <w:szCs w:val="24"/>
                <w:lang w:val="fr-CA"/>
              </w:rPr>
              <w:t xml:space="preserve"> demander des services supplémentaires aux employé·e·s moyennant l’approbation de la direction.</w:t>
            </w:r>
          </w:p>
          <w:p w14:paraId="00A5A5B9" w14:textId="6DD36A31" w:rsidR="00DE5251" w:rsidRPr="009A2A3C" w:rsidRDefault="00DE5251" w:rsidP="00DE5251">
            <w:pPr>
              <w:spacing w:before="120" w:after="0"/>
              <w:jc w:val="right"/>
              <w:rPr>
                <w:sz w:val="24"/>
                <w:szCs w:val="24"/>
                <w:lang w:val="fr-CA"/>
              </w:rPr>
            </w:pPr>
            <w:r w:rsidRPr="00DE5251">
              <w:rPr>
                <w:b/>
                <w:bCs/>
                <w:sz w:val="24"/>
                <w:szCs w:val="24"/>
                <w:lang w:val="fr-CA"/>
              </w:rPr>
              <w:t>(CA</w:t>
            </w:r>
            <w:r>
              <w:rPr>
                <w:b/>
                <w:bCs/>
                <w:sz w:val="24"/>
                <w:szCs w:val="24"/>
                <w:lang w:val="fr-CA"/>
              </w:rPr>
              <w:t xml:space="preserve"> </w:t>
            </w:r>
            <w:r w:rsidRPr="00DE5251">
              <w:rPr>
                <w:b/>
                <w:bCs/>
                <w:sz w:val="24"/>
                <w:szCs w:val="24"/>
                <w:lang w:val="fr-CA"/>
              </w:rPr>
              <w:t xml:space="preserve">- </w:t>
            </w:r>
            <w:proofErr w:type="spellStart"/>
            <w:r w:rsidRPr="00DE5251">
              <w:rPr>
                <w:b/>
                <w:bCs/>
                <w:sz w:val="24"/>
                <w:szCs w:val="24"/>
                <w:lang w:val="fr-CA"/>
              </w:rPr>
              <w:t>mar</w:t>
            </w:r>
            <w:proofErr w:type="spellEnd"/>
            <w:r w:rsidRPr="00DE5251">
              <w:rPr>
                <w:b/>
                <w:bCs/>
                <w:sz w:val="24"/>
                <w:szCs w:val="24"/>
                <w:lang w:val="fr-CA"/>
              </w:rPr>
              <w:t xml:space="preserve"> 2023)</w:t>
            </w:r>
          </w:p>
          <w:p w14:paraId="2ED6FFBF" w14:textId="77777777" w:rsidR="00050DFF" w:rsidRPr="009A2A3C" w:rsidRDefault="00000000">
            <w:pPr>
              <w:spacing w:before="120" w:after="0"/>
              <w:rPr>
                <w:sz w:val="24"/>
                <w:szCs w:val="24"/>
                <w:lang w:val="fr-CA"/>
              </w:rPr>
            </w:pPr>
            <w:r>
              <w:rPr>
                <w:sz w:val="24"/>
                <w:szCs w:val="24"/>
                <w:lang w:val="fr-CA"/>
              </w:rPr>
              <w:t>Un organisme constituant peut, à sa discrétion, inviter des employé·e·s à assister à des réceptions s’il leur fait savoir clairement qu’ils ne sont pas obligés d’y assister et qu’ils le feront dans leurs temps libres et à leurs frais.</w:t>
            </w:r>
          </w:p>
        </w:tc>
      </w:tr>
      <w:tr w:rsidR="004067C1" w:rsidRPr="00DE5251" w14:paraId="3691434C" w14:textId="77777777">
        <w:trPr>
          <w:trHeight w:val="3425"/>
        </w:trPr>
        <w:tc>
          <w:tcPr>
            <w:tcW w:w="265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05F0F12" w14:textId="77777777" w:rsidR="00050DFF" w:rsidRPr="009A2A3C" w:rsidRDefault="00000000">
            <w:pPr>
              <w:spacing w:before="120" w:after="0"/>
              <w:ind w:left="360"/>
              <w:rPr>
                <w:b/>
                <w:sz w:val="24"/>
                <w:szCs w:val="24"/>
                <w:lang w:val="fr-CA"/>
              </w:rPr>
            </w:pPr>
            <w:r>
              <w:rPr>
                <w:b/>
                <w:bCs/>
                <w:sz w:val="24"/>
                <w:szCs w:val="24"/>
                <w:lang w:val="fr-CA"/>
              </w:rPr>
              <w:t>7.</w:t>
            </w:r>
            <w:r>
              <w:rPr>
                <w:sz w:val="14"/>
                <w:szCs w:val="14"/>
                <w:lang w:val="fr-CA"/>
              </w:rPr>
              <w:t xml:space="preserve">      </w:t>
            </w:r>
            <w:r>
              <w:rPr>
                <w:b/>
                <w:bCs/>
                <w:sz w:val="24"/>
                <w:szCs w:val="24"/>
                <w:lang w:val="fr-CA"/>
              </w:rPr>
              <w:t>Plaintes de membres ou allégations d’inconduite visant un membre du personnel</w:t>
            </w:r>
          </w:p>
          <w:p w14:paraId="39D21FBF" w14:textId="77777777" w:rsidR="00050DFF" w:rsidRPr="009A2A3C" w:rsidRDefault="00000000">
            <w:pPr>
              <w:spacing w:before="120" w:after="0"/>
              <w:rPr>
                <w:b/>
                <w:sz w:val="24"/>
                <w:szCs w:val="24"/>
                <w:lang w:val="fr-CA"/>
              </w:rPr>
            </w:pPr>
            <w:r>
              <w:rPr>
                <w:b/>
                <w:bCs/>
                <w:sz w:val="24"/>
                <w:szCs w:val="24"/>
                <w:lang w:val="fr-CA"/>
              </w:rPr>
              <w:t xml:space="preserve"> </w:t>
            </w:r>
          </w:p>
        </w:tc>
        <w:tc>
          <w:tcPr>
            <w:tcW w:w="6471"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4D18C60A" w14:textId="77777777" w:rsidR="00050DFF" w:rsidRPr="009A2A3C" w:rsidRDefault="00000000">
            <w:pPr>
              <w:spacing w:before="120" w:after="0"/>
              <w:rPr>
                <w:sz w:val="24"/>
                <w:szCs w:val="24"/>
                <w:lang w:val="fr-CA"/>
              </w:rPr>
            </w:pPr>
            <w:r>
              <w:rPr>
                <w:sz w:val="24"/>
                <w:szCs w:val="24"/>
                <w:lang w:val="fr-CA"/>
              </w:rPr>
              <w:t>En cas de conflit entre un membre et un·e employé·e de l’Institut, le problème est renvoyé au superviseur de l’employé·e. C’est le Conseil d’administration qui doit trancher. Les employé·e·s et les membres ont le droit d’en appeler au Conseil d’administration.</w:t>
            </w:r>
          </w:p>
          <w:p w14:paraId="4A725DCD" w14:textId="77777777" w:rsidR="00050DFF" w:rsidRPr="009A2A3C" w:rsidRDefault="00000000">
            <w:pPr>
              <w:spacing w:before="120" w:after="0"/>
              <w:rPr>
                <w:sz w:val="24"/>
                <w:szCs w:val="24"/>
                <w:lang w:val="fr-CA"/>
              </w:rPr>
            </w:pPr>
            <w:r>
              <w:rPr>
                <w:sz w:val="24"/>
                <w:szCs w:val="24"/>
                <w:lang w:val="fr-CA"/>
              </w:rPr>
              <w:t>Un membre de l’Institut qui considère que les actions passées ou proposées d’un·e employé·e vont à l’encontre des statuts, des politiques ou des procédures de l’Institut doit le signaler au gestionnaire pertinent aux fins de discussion. Si un conflit subsiste, le membre en informe alors la direction de l’Institut.</w:t>
            </w:r>
          </w:p>
        </w:tc>
        <w:tc>
          <w:tcPr>
            <w:tcW w:w="233" w:type="dxa"/>
            <w:tcBorders>
              <w:top w:val="nil"/>
              <w:left w:val="nil"/>
              <w:bottom w:val="single" w:sz="8" w:space="0" w:color="000000"/>
              <w:right w:val="nil"/>
            </w:tcBorders>
            <w:shd w:val="clear" w:color="auto" w:fill="auto"/>
            <w:tcMar>
              <w:top w:w="100" w:type="dxa"/>
              <w:left w:w="100" w:type="dxa"/>
              <w:bottom w:w="100" w:type="dxa"/>
              <w:right w:w="100" w:type="dxa"/>
            </w:tcMar>
          </w:tcPr>
          <w:p w14:paraId="20855818" w14:textId="77777777" w:rsidR="00050DFF" w:rsidRPr="009A2A3C" w:rsidRDefault="00000000">
            <w:pPr>
              <w:spacing w:before="240" w:after="240" w:line="240" w:lineRule="auto"/>
              <w:rPr>
                <w:sz w:val="24"/>
                <w:szCs w:val="24"/>
                <w:lang w:val="fr-CA"/>
              </w:rPr>
            </w:pPr>
            <w:r>
              <w:rPr>
                <w:sz w:val="24"/>
                <w:szCs w:val="24"/>
                <w:lang w:val="fr-CA"/>
              </w:rPr>
              <w:t xml:space="preserve"> </w:t>
            </w:r>
          </w:p>
        </w:tc>
      </w:tr>
      <w:tr w:rsidR="004067C1" w:rsidRPr="00DE5251" w14:paraId="1F15E0F7" w14:textId="77777777">
        <w:trPr>
          <w:trHeight w:val="1865"/>
        </w:trPr>
        <w:tc>
          <w:tcPr>
            <w:tcW w:w="233" w:type="dxa"/>
            <w:tcBorders>
              <w:top w:val="nil"/>
              <w:left w:val="nil"/>
              <w:bottom w:val="nil"/>
              <w:right w:val="nil"/>
            </w:tcBorders>
            <w:shd w:val="clear" w:color="auto" w:fill="auto"/>
            <w:tcMar>
              <w:top w:w="100" w:type="dxa"/>
              <w:left w:w="100" w:type="dxa"/>
              <w:bottom w:w="100" w:type="dxa"/>
              <w:right w:w="100" w:type="dxa"/>
            </w:tcMar>
          </w:tcPr>
          <w:p w14:paraId="7DCF8562" w14:textId="77777777" w:rsidR="00050DFF" w:rsidRPr="009A2A3C" w:rsidRDefault="00000000">
            <w:pPr>
              <w:spacing w:before="240" w:after="240" w:line="240" w:lineRule="auto"/>
              <w:rPr>
                <w:sz w:val="24"/>
                <w:szCs w:val="24"/>
                <w:lang w:val="fr-CA"/>
              </w:rPr>
            </w:pPr>
            <w:r>
              <w:rPr>
                <w:sz w:val="24"/>
                <w:szCs w:val="24"/>
                <w:lang w:val="fr-CA"/>
              </w:rPr>
              <w:lastRenderedPageBreak/>
              <w:t xml:space="preserve"> </w:t>
            </w:r>
          </w:p>
        </w:tc>
        <w:tc>
          <w:tcPr>
            <w:tcW w:w="265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1D3D0B72" w14:textId="77777777" w:rsidR="00050DFF" w:rsidRDefault="00000000">
            <w:pPr>
              <w:spacing w:before="120" w:after="0"/>
              <w:ind w:left="360"/>
              <w:rPr>
                <w:b/>
                <w:sz w:val="24"/>
                <w:szCs w:val="24"/>
              </w:rPr>
            </w:pPr>
            <w:r>
              <w:rPr>
                <w:b/>
                <w:bCs/>
                <w:sz w:val="24"/>
                <w:szCs w:val="24"/>
                <w:lang w:val="fr-CA"/>
              </w:rPr>
              <w:t>8.</w:t>
            </w:r>
            <w:r>
              <w:rPr>
                <w:sz w:val="14"/>
                <w:szCs w:val="14"/>
                <w:lang w:val="fr-CA"/>
              </w:rPr>
              <w:t xml:space="preserve">      </w:t>
            </w:r>
            <w:r>
              <w:rPr>
                <w:b/>
                <w:bCs/>
                <w:sz w:val="24"/>
                <w:szCs w:val="24"/>
                <w:lang w:val="fr-CA"/>
              </w:rPr>
              <w:t>Suivi et évaluation</w:t>
            </w:r>
          </w:p>
        </w:tc>
        <w:tc>
          <w:tcPr>
            <w:tcW w:w="6471"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D736DA1" w14:textId="77777777" w:rsidR="00050DFF" w:rsidRDefault="00000000">
            <w:pPr>
              <w:spacing w:before="120" w:after="0"/>
              <w:rPr>
                <w:sz w:val="24"/>
                <w:szCs w:val="24"/>
                <w:lang w:val="fr-CA"/>
              </w:rPr>
            </w:pPr>
            <w:r>
              <w:rPr>
                <w:sz w:val="24"/>
                <w:szCs w:val="24"/>
                <w:lang w:val="fr-CA"/>
              </w:rPr>
              <w:t>Le Comité de rémunération des cadres (CRC) doit veiller à ce que les descriptions de travail du ou de la secrétaire général·e (SG), du ou de la directeur·trice général·e (DG), du ou de la directeur·trice des Services de négociation collective et de rémunération (DSNCR), du ou de la directeur·trice des Relations du travail (DRT), du ou de la conseiller·ère général·e aux affaires juridiques (CG) et du ou de la directeur·trice des ressources humaines (DRH) soient à jour. Celles-ci doivent être revues au moins tous les trois (3) ans par le Comité de rémunération des cadres et approuvée</w:t>
            </w:r>
            <w:r w:rsidR="009A2A3C">
              <w:rPr>
                <w:sz w:val="24"/>
                <w:szCs w:val="24"/>
                <w:lang w:val="fr-CA"/>
              </w:rPr>
              <w:t>s</w:t>
            </w:r>
            <w:r>
              <w:rPr>
                <w:sz w:val="24"/>
                <w:szCs w:val="24"/>
                <w:lang w:val="fr-CA"/>
              </w:rPr>
              <w:t xml:space="preserve"> par le Conseil d’administration.</w:t>
            </w:r>
          </w:p>
          <w:p w14:paraId="49ECDE38" w14:textId="3041A5D6" w:rsidR="00DE5251" w:rsidRPr="009A2A3C" w:rsidRDefault="00DE5251" w:rsidP="00DE5251">
            <w:pPr>
              <w:spacing w:before="120" w:after="0"/>
              <w:jc w:val="right"/>
              <w:rPr>
                <w:sz w:val="24"/>
                <w:szCs w:val="24"/>
                <w:lang w:val="fr-CA"/>
              </w:rPr>
            </w:pPr>
            <w:r w:rsidRPr="00DE5251">
              <w:rPr>
                <w:b/>
                <w:bCs/>
                <w:sz w:val="24"/>
                <w:szCs w:val="24"/>
                <w:lang w:val="fr-CA"/>
              </w:rPr>
              <w:t>(CA</w:t>
            </w:r>
            <w:r>
              <w:rPr>
                <w:b/>
                <w:bCs/>
                <w:sz w:val="24"/>
                <w:szCs w:val="24"/>
                <w:lang w:val="fr-CA"/>
              </w:rPr>
              <w:t xml:space="preserve"> </w:t>
            </w:r>
            <w:r w:rsidRPr="00DE5251">
              <w:rPr>
                <w:b/>
                <w:bCs/>
                <w:sz w:val="24"/>
                <w:szCs w:val="24"/>
                <w:lang w:val="fr-CA"/>
              </w:rPr>
              <w:t xml:space="preserve">- </w:t>
            </w:r>
            <w:proofErr w:type="spellStart"/>
            <w:r w:rsidRPr="00DE5251">
              <w:rPr>
                <w:b/>
                <w:bCs/>
                <w:sz w:val="24"/>
                <w:szCs w:val="24"/>
                <w:lang w:val="fr-CA"/>
              </w:rPr>
              <w:t>mar</w:t>
            </w:r>
            <w:proofErr w:type="spellEnd"/>
            <w:r w:rsidRPr="00DE5251">
              <w:rPr>
                <w:b/>
                <w:bCs/>
                <w:sz w:val="24"/>
                <w:szCs w:val="24"/>
                <w:lang w:val="fr-CA"/>
              </w:rPr>
              <w:t xml:space="preserve"> 2023)</w:t>
            </w:r>
          </w:p>
        </w:tc>
      </w:tr>
      <w:tr w:rsidR="004067C1" w14:paraId="385E5534" w14:textId="77777777">
        <w:trPr>
          <w:trHeight w:val="725"/>
        </w:trPr>
        <w:tc>
          <w:tcPr>
            <w:tcW w:w="233" w:type="dxa"/>
            <w:tcBorders>
              <w:top w:val="nil"/>
              <w:left w:val="nil"/>
              <w:bottom w:val="nil"/>
              <w:right w:val="nil"/>
            </w:tcBorders>
            <w:shd w:val="clear" w:color="auto" w:fill="auto"/>
            <w:tcMar>
              <w:top w:w="100" w:type="dxa"/>
              <w:left w:w="100" w:type="dxa"/>
              <w:bottom w:w="100" w:type="dxa"/>
              <w:right w:w="100" w:type="dxa"/>
            </w:tcMar>
          </w:tcPr>
          <w:p w14:paraId="2564164F" w14:textId="77777777" w:rsidR="00050DFF" w:rsidRPr="009A2A3C" w:rsidRDefault="00000000">
            <w:pPr>
              <w:spacing w:before="240" w:after="240" w:line="240" w:lineRule="auto"/>
              <w:rPr>
                <w:sz w:val="24"/>
                <w:szCs w:val="24"/>
                <w:lang w:val="fr-CA"/>
              </w:rPr>
            </w:pPr>
            <w:r>
              <w:rPr>
                <w:sz w:val="24"/>
                <w:szCs w:val="24"/>
                <w:lang w:val="fr-CA"/>
              </w:rPr>
              <w:t xml:space="preserve"> </w:t>
            </w:r>
          </w:p>
        </w:tc>
        <w:tc>
          <w:tcPr>
            <w:tcW w:w="2654"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0BB89F7B" w14:textId="77777777" w:rsidR="00050DFF" w:rsidRDefault="00000000">
            <w:pPr>
              <w:spacing w:before="120" w:after="0"/>
              <w:ind w:left="360"/>
              <w:rPr>
                <w:b/>
                <w:sz w:val="24"/>
                <w:szCs w:val="24"/>
              </w:rPr>
            </w:pPr>
            <w:r>
              <w:rPr>
                <w:b/>
                <w:bCs/>
                <w:sz w:val="24"/>
                <w:szCs w:val="24"/>
                <w:lang w:val="fr-CA"/>
              </w:rPr>
              <w:t>9.</w:t>
            </w:r>
            <w:r>
              <w:rPr>
                <w:sz w:val="14"/>
                <w:szCs w:val="14"/>
                <w:lang w:val="fr-CA"/>
              </w:rPr>
              <w:t xml:space="preserve">  </w:t>
            </w:r>
            <w:r>
              <w:rPr>
                <w:b/>
                <w:bCs/>
                <w:sz w:val="24"/>
                <w:szCs w:val="24"/>
                <w:lang w:val="fr-CA"/>
              </w:rPr>
              <w:t>Références</w:t>
            </w:r>
          </w:p>
        </w:tc>
        <w:tc>
          <w:tcPr>
            <w:tcW w:w="6471"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44CAEFCD" w14:textId="77777777" w:rsidR="00050DFF" w:rsidRDefault="00000000">
            <w:pPr>
              <w:spacing w:before="120" w:after="0"/>
              <w:rPr>
                <w:sz w:val="24"/>
                <w:szCs w:val="24"/>
              </w:rPr>
            </w:pPr>
            <w:r>
              <w:rPr>
                <w:sz w:val="24"/>
                <w:szCs w:val="24"/>
                <w:lang w:val="fr-CA"/>
              </w:rPr>
              <w:t xml:space="preserve"> </w:t>
            </w:r>
          </w:p>
        </w:tc>
      </w:tr>
      <w:tr w:rsidR="004067C1" w14:paraId="637E8BD9" w14:textId="77777777">
        <w:trPr>
          <w:trHeight w:val="215"/>
        </w:trPr>
        <w:tc>
          <w:tcPr>
            <w:tcW w:w="233" w:type="dxa"/>
            <w:tcBorders>
              <w:top w:val="nil"/>
              <w:left w:val="nil"/>
              <w:bottom w:val="nil"/>
              <w:right w:val="nil"/>
            </w:tcBorders>
            <w:shd w:val="clear" w:color="auto" w:fill="auto"/>
            <w:tcMar>
              <w:top w:w="100" w:type="dxa"/>
              <w:left w:w="100" w:type="dxa"/>
              <w:bottom w:w="100" w:type="dxa"/>
              <w:right w:w="100" w:type="dxa"/>
            </w:tcMar>
          </w:tcPr>
          <w:p w14:paraId="15F77B8B" w14:textId="77777777" w:rsidR="00050DFF" w:rsidRDefault="00050DFF">
            <w:pPr>
              <w:widowControl w:val="0"/>
              <w:pBdr>
                <w:top w:val="nil"/>
                <w:left w:val="nil"/>
                <w:bottom w:val="nil"/>
                <w:right w:val="nil"/>
                <w:between w:val="nil"/>
              </w:pBdr>
              <w:spacing w:after="0"/>
              <w:rPr>
                <w:sz w:val="24"/>
                <w:szCs w:val="24"/>
              </w:rPr>
            </w:pPr>
          </w:p>
        </w:tc>
        <w:tc>
          <w:tcPr>
            <w:tcW w:w="2421" w:type="dxa"/>
            <w:tcBorders>
              <w:top w:val="nil"/>
              <w:left w:val="nil"/>
              <w:bottom w:val="nil"/>
              <w:right w:val="nil"/>
            </w:tcBorders>
            <w:shd w:val="clear" w:color="auto" w:fill="auto"/>
            <w:tcMar>
              <w:top w:w="100" w:type="dxa"/>
              <w:left w:w="100" w:type="dxa"/>
              <w:bottom w:w="100" w:type="dxa"/>
              <w:right w:w="100" w:type="dxa"/>
            </w:tcMar>
          </w:tcPr>
          <w:p w14:paraId="524B3A31" w14:textId="77777777" w:rsidR="00050DFF" w:rsidRDefault="00050DFF">
            <w:pPr>
              <w:widowControl w:val="0"/>
              <w:pBdr>
                <w:top w:val="nil"/>
                <w:left w:val="nil"/>
                <w:bottom w:val="nil"/>
                <w:right w:val="nil"/>
                <w:between w:val="nil"/>
              </w:pBdr>
              <w:spacing w:after="0"/>
              <w:rPr>
                <w:sz w:val="24"/>
                <w:szCs w:val="24"/>
              </w:rPr>
            </w:pPr>
          </w:p>
        </w:tc>
        <w:tc>
          <w:tcPr>
            <w:tcW w:w="233" w:type="dxa"/>
            <w:tcBorders>
              <w:top w:val="nil"/>
              <w:left w:val="nil"/>
              <w:bottom w:val="nil"/>
              <w:right w:val="nil"/>
            </w:tcBorders>
            <w:shd w:val="clear" w:color="auto" w:fill="auto"/>
            <w:tcMar>
              <w:top w:w="100" w:type="dxa"/>
              <w:left w:w="100" w:type="dxa"/>
              <w:bottom w:w="100" w:type="dxa"/>
              <w:right w:w="100" w:type="dxa"/>
            </w:tcMar>
          </w:tcPr>
          <w:p w14:paraId="2B045A92" w14:textId="77777777" w:rsidR="00050DFF" w:rsidRDefault="00050DFF">
            <w:pPr>
              <w:widowControl w:val="0"/>
              <w:pBdr>
                <w:top w:val="nil"/>
                <w:left w:val="nil"/>
                <w:bottom w:val="nil"/>
                <w:right w:val="nil"/>
                <w:between w:val="nil"/>
              </w:pBdr>
              <w:spacing w:after="0"/>
              <w:rPr>
                <w:sz w:val="24"/>
                <w:szCs w:val="24"/>
              </w:rPr>
            </w:pPr>
          </w:p>
        </w:tc>
        <w:tc>
          <w:tcPr>
            <w:tcW w:w="6238" w:type="dxa"/>
            <w:tcBorders>
              <w:top w:val="nil"/>
              <w:left w:val="nil"/>
              <w:bottom w:val="nil"/>
              <w:right w:val="nil"/>
            </w:tcBorders>
            <w:shd w:val="clear" w:color="auto" w:fill="auto"/>
            <w:tcMar>
              <w:top w:w="100" w:type="dxa"/>
              <w:left w:w="100" w:type="dxa"/>
              <w:bottom w:w="100" w:type="dxa"/>
              <w:right w:w="100" w:type="dxa"/>
            </w:tcMar>
          </w:tcPr>
          <w:p w14:paraId="611354AD" w14:textId="77777777" w:rsidR="00050DFF" w:rsidRDefault="00050DFF">
            <w:pPr>
              <w:widowControl w:val="0"/>
              <w:pBdr>
                <w:top w:val="nil"/>
                <w:left w:val="nil"/>
                <w:bottom w:val="nil"/>
                <w:right w:val="nil"/>
                <w:between w:val="nil"/>
              </w:pBdr>
              <w:spacing w:after="0"/>
              <w:rPr>
                <w:sz w:val="24"/>
                <w:szCs w:val="24"/>
              </w:rPr>
            </w:pPr>
          </w:p>
        </w:tc>
        <w:tc>
          <w:tcPr>
            <w:tcW w:w="233" w:type="dxa"/>
            <w:tcBorders>
              <w:top w:val="nil"/>
              <w:left w:val="nil"/>
              <w:bottom w:val="nil"/>
              <w:right w:val="nil"/>
            </w:tcBorders>
            <w:shd w:val="clear" w:color="auto" w:fill="auto"/>
            <w:tcMar>
              <w:top w:w="100" w:type="dxa"/>
              <w:left w:w="100" w:type="dxa"/>
              <w:bottom w:w="100" w:type="dxa"/>
              <w:right w:w="100" w:type="dxa"/>
            </w:tcMar>
          </w:tcPr>
          <w:p w14:paraId="3DA44F2F" w14:textId="77777777" w:rsidR="00050DFF" w:rsidRDefault="00050DFF">
            <w:pPr>
              <w:widowControl w:val="0"/>
              <w:pBdr>
                <w:top w:val="nil"/>
                <w:left w:val="nil"/>
                <w:bottom w:val="nil"/>
                <w:right w:val="nil"/>
                <w:between w:val="nil"/>
              </w:pBdr>
              <w:spacing w:after="0"/>
              <w:rPr>
                <w:sz w:val="24"/>
                <w:szCs w:val="24"/>
              </w:rPr>
            </w:pPr>
          </w:p>
        </w:tc>
      </w:tr>
    </w:tbl>
    <w:p w14:paraId="08C7F281" w14:textId="77777777" w:rsidR="00050DFF" w:rsidRDefault="00000000">
      <w:pPr>
        <w:spacing w:before="240" w:after="240"/>
        <w:rPr>
          <w:sz w:val="24"/>
          <w:szCs w:val="24"/>
        </w:rPr>
      </w:pPr>
      <w:r>
        <w:rPr>
          <w:sz w:val="24"/>
          <w:szCs w:val="24"/>
          <w:lang w:val="fr-CA"/>
        </w:rPr>
        <w:t xml:space="preserve"> </w:t>
      </w:r>
    </w:p>
    <w:p w14:paraId="79AEFD33" w14:textId="77777777" w:rsidR="00050DFF" w:rsidRDefault="00000000">
      <w:pPr>
        <w:spacing w:before="240" w:after="240"/>
        <w:rPr>
          <w:sz w:val="24"/>
          <w:szCs w:val="24"/>
        </w:rPr>
      </w:pPr>
      <w:r>
        <w:rPr>
          <w:sz w:val="24"/>
          <w:szCs w:val="24"/>
          <w:lang w:val="fr-CA"/>
        </w:rPr>
        <w:t xml:space="preserve"> </w:t>
      </w:r>
    </w:p>
    <w:p w14:paraId="49349286" w14:textId="77777777" w:rsidR="00050DFF" w:rsidRDefault="00050DFF">
      <w:pPr>
        <w:spacing w:line="240" w:lineRule="auto"/>
        <w:rPr>
          <w:sz w:val="24"/>
          <w:szCs w:val="24"/>
        </w:rPr>
      </w:pPr>
    </w:p>
    <w:sectPr w:rsidR="00050DFF">
      <w:headerReference w:type="default" r:id="rId9"/>
      <w:footerReference w:type="default" r:id="rId10"/>
      <w:footerReference w:type="first" r:id="rId11"/>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089D" w14:textId="77777777" w:rsidR="00AF186E" w:rsidRDefault="00AF186E">
      <w:pPr>
        <w:spacing w:after="0" w:line="240" w:lineRule="auto"/>
      </w:pPr>
      <w:r>
        <w:separator/>
      </w:r>
    </w:p>
  </w:endnote>
  <w:endnote w:type="continuationSeparator" w:id="0">
    <w:p w14:paraId="436A0232" w14:textId="77777777" w:rsidR="00AF186E" w:rsidRDefault="00AF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CEE0" w14:textId="41D42E6B" w:rsidR="00050DFF" w:rsidRPr="009A2A3C"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lang w:val="fr-CA"/>
      </w:rPr>
    </w:pPr>
    <w:r>
      <w:rPr>
        <w:rFonts w:ascii="Calibri" w:hAnsi="Calibri"/>
        <w:color w:val="000000"/>
        <w:sz w:val="20"/>
        <w:szCs w:val="20"/>
        <w:lang w:val="fr-CA"/>
      </w:rPr>
      <w:t>Manuel des politiques du Conseil</w:t>
    </w:r>
    <w:r>
      <w:rPr>
        <w:rFonts w:ascii="Calibri" w:hAnsi="Calibri"/>
        <w:color w:val="000000"/>
        <w:sz w:val="20"/>
        <w:szCs w:val="20"/>
        <w:lang w:val="fr-CA"/>
      </w:rPr>
      <w:tab/>
    </w:r>
    <w:r>
      <w:rPr>
        <w:rFonts w:ascii="Calibri" w:hAnsi="Calibri"/>
        <w:color w:val="000000"/>
        <w:sz w:val="20"/>
        <w:szCs w:val="20"/>
        <w:lang w:val="fr-CA"/>
      </w:rPr>
      <w:tab/>
    </w:r>
    <w:r>
      <w:rPr>
        <w:rFonts w:ascii="Calibri" w:hAnsi="Calibri"/>
        <w:color w:val="7F7F7F"/>
        <w:sz w:val="20"/>
        <w:szCs w:val="20"/>
        <w:lang w:val="fr-CA"/>
      </w:rPr>
      <w:t>Page</w:t>
    </w:r>
    <w:r>
      <w:rPr>
        <w:rFonts w:ascii="Calibri" w:hAnsi="Calibri"/>
        <w:color w:val="000000"/>
        <w:sz w:val="20"/>
        <w:szCs w:val="20"/>
        <w:lang w:val="fr-CA"/>
      </w:rPr>
      <w:t xml:space="preserve"> | </w:t>
    </w:r>
    <w:r>
      <w:rPr>
        <w:rFonts w:ascii="Calibri" w:hAnsi="Calibri"/>
        <w:color w:val="000000"/>
        <w:sz w:val="20"/>
        <w:szCs w:val="20"/>
        <w:lang w:val="fr-CA"/>
      </w:rPr>
      <w:fldChar w:fldCharType="begin"/>
    </w:r>
    <w:r>
      <w:rPr>
        <w:rFonts w:ascii="Calibri" w:hAnsi="Calibri"/>
        <w:color w:val="000000"/>
        <w:sz w:val="20"/>
        <w:szCs w:val="20"/>
        <w:lang w:val="fr-CA"/>
      </w:rPr>
      <w:instrText>PAGE</w:instrText>
    </w:r>
    <w:r>
      <w:rPr>
        <w:rFonts w:ascii="Calibri" w:hAnsi="Calibri"/>
        <w:color w:val="000000"/>
        <w:sz w:val="20"/>
        <w:szCs w:val="20"/>
        <w:lang w:val="fr-CA"/>
      </w:rPr>
      <w:fldChar w:fldCharType="separate"/>
    </w:r>
    <w:r>
      <w:rPr>
        <w:rFonts w:ascii="Calibri" w:hAnsi="Calibri"/>
        <w:noProof/>
        <w:color w:val="000000"/>
        <w:sz w:val="20"/>
        <w:szCs w:val="20"/>
        <w:lang w:val="fr-CA"/>
      </w:rPr>
      <w:t>1</w:t>
    </w:r>
    <w:r>
      <w:rPr>
        <w:rFonts w:ascii="Calibri" w:hAnsi="Calibri"/>
        <w:color w:val="000000"/>
        <w:sz w:val="20"/>
        <w:szCs w:val="20"/>
        <w:lang w:val="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B71D" w14:textId="77777777" w:rsidR="00050DFF" w:rsidRPr="009A2A3C"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lang w:val="fr-CA"/>
      </w:rPr>
    </w:pPr>
    <w:r>
      <w:rPr>
        <w:rFonts w:ascii="Calibri" w:hAnsi="Calibri"/>
        <w:color w:val="000000"/>
        <w:sz w:val="20"/>
        <w:szCs w:val="20"/>
        <w:lang w:val="fr-CA"/>
      </w:rPr>
      <w:t>Manuel des politiques du Conseil d’administration</w:t>
    </w:r>
    <w:r>
      <w:rPr>
        <w:rFonts w:ascii="Calibri" w:hAnsi="Calibri"/>
        <w:color w:val="000000"/>
        <w:sz w:val="20"/>
        <w:szCs w:val="20"/>
        <w:lang w:val="fr-CA"/>
      </w:rPr>
      <w:tab/>
    </w:r>
    <w:r>
      <w:rPr>
        <w:rFonts w:ascii="Calibri" w:hAnsi="Calibri"/>
        <w:color w:val="000000"/>
        <w:sz w:val="20"/>
        <w:szCs w:val="20"/>
        <w:lang w:val="fr-CA"/>
      </w:rPr>
      <w:tab/>
    </w:r>
    <w:r>
      <w:rPr>
        <w:rFonts w:ascii="Calibri" w:hAnsi="Calibri"/>
        <w:color w:val="7F7F7F"/>
        <w:sz w:val="20"/>
        <w:szCs w:val="20"/>
        <w:lang w:val="fr-CA"/>
      </w:rPr>
      <w:t>Page</w:t>
    </w:r>
    <w:r>
      <w:rPr>
        <w:rFonts w:ascii="Calibri" w:hAnsi="Calibri"/>
        <w:color w:val="000000"/>
        <w:sz w:val="20"/>
        <w:szCs w:val="20"/>
        <w:lang w:val="fr-CA"/>
      </w:rPr>
      <w:t xml:space="preserve"> | </w:t>
    </w:r>
    <w:r>
      <w:rPr>
        <w:rFonts w:ascii="Calibri" w:hAnsi="Calibri"/>
        <w:color w:val="000000"/>
        <w:sz w:val="20"/>
        <w:szCs w:val="20"/>
        <w:lang w:val="fr-CA"/>
      </w:rPr>
      <w:fldChar w:fldCharType="begin"/>
    </w:r>
    <w:r>
      <w:rPr>
        <w:rFonts w:ascii="Calibri" w:hAnsi="Calibri"/>
        <w:color w:val="000000"/>
        <w:sz w:val="20"/>
        <w:szCs w:val="20"/>
        <w:lang w:val="fr-CA"/>
      </w:rPr>
      <w:instrText>PAGE</w:instrText>
    </w:r>
    <w:r>
      <w:rPr>
        <w:rFonts w:ascii="Calibri" w:hAnsi="Calibri"/>
        <w:color w:val="000000"/>
        <w:sz w:val="20"/>
        <w:szCs w:val="20"/>
        <w:lang w:val="fr-CA"/>
      </w:rPr>
      <w:fldChar w:fldCharType="separate"/>
    </w:r>
    <w:r>
      <w:rPr>
        <w:rFonts w:ascii="Calibri" w:hAnsi="Calibri"/>
        <w:color w:val="000000"/>
        <w:sz w:val="20"/>
        <w:szCs w:val="20"/>
        <w:lang w:val="fr-CA"/>
      </w:rPr>
      <w:fldChar w:fldCharType="end"/>
    </w:r>
    <w:r>
      <w:rPr>
        <w:rFonts w:ascii="Calibri" w:hAnsi="Calibri"/>
        <w:color w:val="000000"/>
        <w:sz w:val="20"/>
        <w:szCs w:val="20"/>
        <w:lang w:val="fr-CA"/>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88DA" w14:textId="77777777" w:rsidR="00AF186E" w:rsidRDefault="00AF186E">
      <w:pPr>
        <w:spacing w:after="0" w:line="240" w:lineRule="auto"/>
      </w:pPr>
      <w:r>
        <w:separator/>
      </w:r>
    </w:p>
  </w:footnote>
  <w:footnote w:type="continuationSeparator" w:id="0">
    <w:p w14:paraId="7FDB844F" w14:textId="77777777" w:rsidR="00AF186E" w:rsidRDefault="00AF1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DB72" w14:textId="77777777" w:rsidR="00050DFF"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lang w:val="fr-CA"/>
      </w:rPr>
      <w:drawing>
        <wp:inline distT="0" distB="0" distL="0" distR="0" wp14:anchorId="4710F85E" wp14:editId="7114F7A7">
          <wp:extent cx="4242879" cy="746584"/>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a:stretch>
                    <a:fillRect/>
                  </a:stretch>
                </pic:blipFill>
                <pic:spPr>
                  <a:xfrm>
                    <a:off x="0" y="0"/>
                    <a:ext cx="4242879" cy="746584"/>
                  </a:xfrm>
                  <a:prstGeom prst="rect">
                    <a:avLst/>
                  </a:prstGeom>
                </pic:spPr>
              </pic:pic>
            </a:graphicData>
          </a:graphic>
        </wp:inline>
      </w:drawing>
    </w:r>
  </w:p>
  <w:p w14:paraId="5AB59DCC" w14:textId="77777777" w:rsidR="00050DFF" w:rsidRDefault="00050DFF">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26AA2"/>
    <w:multiLevelType w:val="multilevel"/>
    <w:tmpl w:val="0B5AD3D0"/>
    <w:lvl w:ilvl="0">
      <w:start w:val="1"/>
      <w:numFmt w:val="decimal"/>
      <w:pStyle w:val="1AutoLi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39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FF"/>
    <w:rsid w:val="00050DFF"/>
    <w:rsid w:val="0018197C"/>
    <w:rsid w:val="002C183E"/>
    <w:rsid w:val="004067C1"/>
    <w:rsid w:val="00763397"/>
    <w:rsid w:val="00920E8B"/>
    <w:rsid w:val="00996E2B"/>
    <w:rsid w:val="009A2A3C"/>
    <w:rsid w:val="009F37FA"/>
    <w:rsid w:val="00AF186E"/>
    <w:rsid w:val="00BB2FD5"/>
    <w:rsid w:val="00DE5251"/>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6F5B"/>
  <w15:docId w15:val="{88913B8E-54DC-405B-B7A4-DA3C5113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aliases w:val="NL"/>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lang w:eastAsia="en-CA"/>
    </w:rPr>
  </w:style>
  <w:style w:type="paragraph" w:customStyle="1" w:styleId="1AutoList3">
    <w:name w:val="1AutoList3"/>
    <w:rsid w:val="00BF0BC4"/>
    <w:pPr>
      <w:widowControl w:val="0"/>
      <w:numPr>
        <w:numId w:val="1"/>
      </w:numPr>
      <w:tabs>
        <w:tab w:val="left" w:pos="720"/>
      </w:tabs>
      <w:autoSpaceDE w:val="0"/>
      <w:autoSpaceDN w:val="0"/>
      <w:adjustRightInd w:val="0"/>
      <w:spacing w:after="0" w:line="240" w:lineRule="auto"/>
      <w:jc w:val="both"/>
    </w:pPr>
    <w:rPr>
      <w:rFonts w:ascii="Times New Roman" w:eastAsia="Times New Roman" w:hAnsi="Times New Roman" w:cs="Times New Roman"/>
      <w:sz w:val="24"/>
      <w:lang w:val="en-US"/>
    </w:rPr>
  </w:style>
  <w:style w:type="character" w:customStyle="1" w:styleId="BH">
    <w:name w:val="BH"/>
    <w:basedOn w:val="DefaultParagraphFont"/>
    <w:rsid w:val="00BF0BC4"/>
    <w:rPr>
      <w:b/>
      <w:bCs/>
    </w:rPr>
  </w:style>
  <w:style w:type="character" w:styleId="CommentReference">
    <w:name w:val="annotation reference"/>
    <w:basedOn w:val="DefaultParagraphFont"/>
    <w:uiPriority w:val="99"/>
    <w:semiHidden/>
    <w:unhideWhenUsed/>
    <w:rsid w:val="00184668"/>
    <w:rPr>
      <w:sz w:val="16"/>
      <w:szCs w:val="16"/>
    </w:rPr>
  </w:style>
  <w:style w:type="paragraph" w:styleId="CommentText">
    <w:name w:val="annotation text"/>
    <w:basedOn w:val="Normal"/>
    <w:link w:val="CommentTextChar"/>
    <w:uiPriority w:val="99"/>
    <w:semiHidden/>
    <w:unhideWhenUsed/>
    <w:rsid w:val="00184668"/>
    <w:pPr>
      <w:spacing w:line="240" w:lineRule="auto"/>
    </w:pPr>
    <w:rPr>
      <w:sz w:val="20"/>
      <w:szCs w:val="20"/>
    </w:rPr>
  </w:style>
  <w:style w:type="character" w:customStyle="1" w:styleId="CommentTextChar">
    <w:name w:val="Comment Text Char"/>
    <w:basedOn w:val="DefaultParagraphFont"/>
    <w:link w:val="CommentText"/>
    <w:uiPriority w:val="99"/>
    <w:semiHidden/>
    <w:rsid w:val="0018466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E595A"/>
    <w:rPr>
      <w:b/>
      <w:bCs/>
    </w:rPr>
  </w:style>
  <w:style w:type="character" w:customStyle="1" w:styleId="CommentSubjectChar">
    <w:name w:val="Comment Subject Char"/>
    <w:basedOn w:val="CommentTextChar"/>
    <w:link w:val="CommentSubject"/>
    <w:uiPriority w:val="99"/>
    <w:semiHidden/>
    <w:rsid w:val="00BE595A"/>
    <w:rPr>
      <w:rFonts w:asciiTheme="minorHAnsi" w:hAnsiTheme="minorHAnsi"/>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F37FA"/>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AtFMEeglU/JbaJduHXHBFZP1hFw==">AMUW2mXrk/688KzGU3Zyy+aAy/txb0x0J23UIUz2H6A59AwfHMZc3Pk1qGTAUOFIzSJ0cIUW4KQQNfBXHvx18/6smAKWWFOt9fz8gei+oGsSu/MiHYkaDlU=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D18617-F1BD-4EA0-BE52-2E0F6EAE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PIPSC</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cp:lastModifiedBy>
  <cp:revision>5</cp:revision>
  <dcterms:created xsi:type="dcterms:W3CDTF">2023-03-09T00:04:00Z</dcterms:created>
  <dcterms:modified xsi:type="dcterms:W3CDTF">2023-09-17T15:17:00Z</dcterms:modified>
</cp:coreProperties>
</file>