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2862" w14:textId="484F5FC6" w:rsidR="00FB4E76" w:rsidRPr="00DC7AAE" w:rsidRDefault="00A77601" w:rsidP="00DB1F75">
      <w:pPr>
        <w:spacing w:after="120" w:line="240" w:lineRule="auto"/>
        <w:jc w:val="center"/>
        <w:outlineLvl w:val="1"/>
        <w:rPr>
          <w:lang w:val="fr-CA"/>
        </w:rPr>
      </w:pPr>
      <w:bookmarkStart w:id="0" w:name="_Hlk499665287"/>
      <w:r w:rsidRPr="002753BB">
        <w:rPr>
          <w:rFonts w:cstheme="minorHAnsi"/>
          <w:b/>
          <w:sz w:val="28"/>
          <w:lang w:val="fr-CA"/>
        </w:rPr>
        <w:t xml:space="preserve">Politique </w:t>
      </w:r>
      <w:r w:rsidR="00172766">
        <w:rPr>
          <w:rFonts w:cstheme="minorHAnsi"/>
          <w:b/>
          <w:sz w:val="28"/>
          <w:lang w:val="fr-CA"/>
        </w:rPr>
        <w:t>sur les</w:t>
      </w:r>
      <w:r w:rsidRPr="002753BB">
        <w:rPr>
          <w:rFonts w:cstheme="minorHAnsi"/>
          <w:b/>
          <w:sz w:val="28"/>
          <w:lang w:val="fr-CA"/>
        </w:rPr>
        <w:t xml:space="preserve"> communications</w:t>
      </w:r>
      <w:r w:rsidR="0064435B" w:rsidRPr="00E01BD8">
        <w:rPr>
          <w:rFonts w:cstheme="minorHAnsi"/>
          <w:b/>
          <w:sz w:val="28"/>
          <w:lang w:val="fr-CA"/>
        </w:rPr>
        <w:t xml:space="preserve"> </w:t>
      </w:r>
    </w:p>
    <w:p w14:paraId="392FF6B1" w14:textId="24915579" w:rsidR="00EF549D" w:rsidRPr="00DC7AAE" w:rsidRDefault="00C748D3" w:rsidP="00DB1F75">
      <w:pPr>
        <w:spacing w:after="240" w:line="240" w:lineRule="auto"/>
        <w:jc w:val="center"/>
        <w:outlineLvl w:val="2"/>
        <w:rPr>
          <w:lang w:val="fr-CA"/>
        </w:rPr>
      </w:pPr>
      <w:bookmarkStart w:id="1" w:name="_GoBack"/>
      <w:r>
        <w:rPr>
          <w:b/>
          <w:sz w:val="24"/>
          <w:lang w:val="fr-CA"/>
        </w:rPr>
        <w:t xml:space="preserve">En vigueur depuis : </w:t>
      </w:r>
      <w:r>
        <w:rPr>
          <w:b/>
          <w:sz w:val="24"/>
          <w:lang w:val="fr-CA"/>
        </w:rPr>
        <w:t>j</w:t>
      </w:r>
      <w:r>
        <w:rPr>
          <w:b/>
          <w:sz w:val="24"/>
          <w:lang w:val="fr-CA"/>
        </w:rPr>
        <w:t xml:space="preserve">uin </w:t>
      </w:r>
      <w:bookmarkEnd w:id="1"/>
      <w:r>
        <w:rPr>
          <w:b/>
          <w:sz w:val="24"/>
          <w:lang w:val="fr-CA"/>
        </w:rPr>
        <w:t>2019</w:t>
      </w:r>
    </w:p>
    <w:tbl>
      <w:tblPr>
        <w:tblStyle w:val="TableGrid"/>
        <w:tblW w:w="99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72" w:type="dxa"/>
          <w:bottom w:w="101" w:type="dxa"/>
          <w:right w:w="72" w:type="dxa"/>
        </w:tblCellMar>
        <w:tblLook w:val="04A0" w:firstRow="1" w:lastRow="0" w:firstColumn="1" w:lastColumn="0" w:noHBand="0" w:noVBand="1"/>
      </w:tblPr>
      <w:tblGrid>
        <w:gridCol w:w="2628"/>
        <w:gridCol w:w="7344"/>
      </w:tblGrid>
      <w:tr w:rsidR="00014308" w:rsidRPr="00A52AAD" w14:paraId="1475026D" w14:textId="77777777" w:rsidTr="00E0725A">
        <w:trPr>
          <w:cantSplit/>
        </w:trPr>
        <w:tc>
          <w:tcPr>
            <w:tcW w:w="2628" w:type="dxa"/>
          </w:tcPr>
          <w:bookmarkEnd w:id="0"/>
          <w:p w14:paraId="0017BBE5" w14:textId="65A0CC33" w:rsidR="00014308" w:rsidRPr="00FB6363" w:rsidRDefault="00A77601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</w:pPr>
            <w:r w:rsidRPr="002753BB">
              <w:rPr>
                <w:b/>
                <w:sz w:val="24"/>
                <w:lang w:val="fr-CA"/>
              </w:rPr>
              <w:t>But et portée</w:t>
            </w:r>
          </w:p>
        </w:tc>
        <w:tc>
          <w:tcPr>
            <w:tcW w:w="7344" w:type="dxa"/>
          </w:tcPr>
          <w:p w14:paraId="299000A2" w14:textId="415CCB2F" w:rsidR="00014308" w:rsidRPr="00DC7AAE" w:rsidRDefault="00DC7AAE" w:rsidP="002753BB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>Fournir un cadre de développement et d’utilisation des médias sociaux pour toutes les communications de l’Institut et celles qui sont faites en son nom.</w:t>
            </w:r>
          </w:p>
        </w:tc>
      </w:tr>
      <w:tr w:rsidR="00442E34" w:rsidRPr="00A52AAD" w14:paraId="631B8108" w14:textId="77777777" w:rsidTr="00E0725A">
        <w:trPr>
          <w:cantSplit/>
        </w:trPr>
        <w:tc>
          <w:tcPr>
            <w:tcW w:w="2628" w:type="dxa"/>
          </w:tcPr>
          <w:p w14:paraId="2EBB7F8E" w14:textId="44C721F9" w:rsidR="00442E34" w:rsidRPr="00DC7AAE" w:rsidRDefault="00A77601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t>Communication avec les membres</w:t>
            </w:r>
          </w:p>
        </w:tc>
        <w:tc>
          <w:tcPr>
            <w:tcW w:w="7344" w:type="dxa"/>
          </w:tcPr>
          <w:p w14:paraId="123CEA0C" w14:textId="660890AC" w:rsidR="00442E34" w:rsidRPr="00D74EC9" w:rsidRDefault="00A77601" w:rsidP="00DB1F75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L’Institut encourage l’utilisation de tous les moyens de communication pour mobiliser et </w:t>
            </w:r>
            <w:r w:rsidR="00D74EC9" w:rsidRPr="002753BB">
              <w:rPr>
                <w:lang w:val="fr-CA"/>
              </w:rPr>
              <w:t>sensibiliser</w:t>
            </w:r>
            <w:r w:rsidRPr="002753BB">
              <w:rPr>
                <w:lang w:val="fr-CA"/>
              </w:rPr>
              <w:t xml:space="preserve"> les membres et l</w:t>
            </w:r>
            <w:r w:rsidR="00D74EC9" w:rsidRPr="002753BB">
              <w:rPr>
                <w:lang w:val="fr-CA"/>
              </w:rPr>
              <w:t>e public face aux</w:t>
            </w:r>
            <w:r w:rsidRPr="002753BB">
              <w:rPr>
                <w:lang w:val="fr-CA"/>
              </w:rPr>
              <w:t xml:space="preserve"> enjeux de l’Institut et </w:t>
            </w:r>
            <w:r w:rsidR="00D74EC9" w:rsidRPr="002753BB">
              <w:rPr>
                <w:lang w:val="fr-CA"/>
              </w:rPr>
              <w:t xml:space="preserve">à ceux, plus généraux, </w:t>
            </w:r>
            <w:r w:rsidRPr="002753BB">
              <w:rPr>
                <w:lang w:val="fr-CA"/>
              </w:rPr>
              <w:t>du mouvement syndical.</w:t>
            </w:r>
          </w:p>
          <w:p w14:paraId="1E79E039" w14:textId="0A4E10CF" w:rsidR="006E6E2B" w:rsidRPr="001A1CAF" w:rsidRDefault="00DE655F" w:rsidP="00DB1F75">
            <w:pPr>
              <w:spacing w:before="120"/>
              <w:rPr>
                <w:lang w:val="fr-CA"/>
              </w:rPr>
            </w:pPr>
            <w:r w:rsidRPr="00DE655F">
              <w:rPr>
                <w:lang w:val="fr-CA"/>
              </w:rPr>
              <w:t>L</w:t>
            </w:r>
            <w:r>
              <w:rPr>
                <w:lang w:val="fr-CA"/>
              </w:rPr>
              <w:t>’</w:t>
            </w:r>
            <w:r w:rsidRPr="00DE655F">
              <w:rPr>
                <w:lang w:val="fr-CA"/>
              </w:rPr>
              <w:t xml:space="preserve">Institut doit informer ses membres </w:t>
            </w:r>
            <w:r>
              <w:rPr>
                <w:lang w:val="fr-CA"/>
              </w:rPr>
              <w:t>par les moyens appropriés sur tous les sujets et actions qui les préoccupent</w:t>
            </w:r>
            <w:r w:rsidRPr="00DE655F">
              <w:rPr>
                <w:lang w:val="fr-CA"/>
              </w:rPr>
              <w:t>.</w:t>
            </w:r>
            <w:r w:rsidR="006E6E2B" w:rsidRPr="00EE7BCA">
              <w:rPr>
                <w:lang w:val="fr-CA"/>
              </w:rPr>
              <w:t xml:space="preserve"> </w:t>
            </w:r>
            <w:r w:rsidR="00EE4925" w:rsidRPr="002753BB">
              <w:rPr>
                <w:lang w:val="fr-CA"/>
              </w:rPr>
              <w:t>Au</w:t>
            </w:r>
            <w:r w:rsidR="001A1CAF" w:rsidRPr="002753BB">
              <w:rPr>
                <w:lang w:val="fr-CA"/>
              </w:rPr>
              <w:t>x</w:t>
            </w:r>
            <w:r w:rsidR="00EE4925" w:rsidRPr="002753BB">
              <w:rPr>
                <w:lang w:val="fr-CA"/>
              </w:rPr>
              <w:t xml:space="preserve"> </w:t>
            </w:r>
            <w:r w:rsidR="00FA25D3">
              <w:rPr>
                <w:lang w:val="fr-CA"/>
              </w:rPr>
              <w:t>fins de la présente p</w:t>
            </w:r>
            <w:r w:rsidR="00EE4925" w:rsidRPr="002753BB">
              <w:rPr>
                <w:lang w:val="fr-CA"/>
              </w:rPr>
              <w:t>olitique, l</w:t>
            </w:r>
            <w:r w:rsidR="00B876BC" w:rsidRPr="002753BB">
              <w:rPr>
                <w:lang w:val="fr-CA"/>
              </w:rPr>
              <w:t xml:space="preserve">es </w:t>
            </w:r>
            <w:r w:rsidR="00EE4925" w:rsidRPr="002753BB">
              <w:rPr>
                <w:lang w:val="fr-CA"/>
              </w:rPr>
              <w:t xml:space="preserve">éléments suivants </w:t>
            </w:r>
            <w:r>
              <w:rPr>
                <w:lang w:val="fr-CA"/>
              </w:rPr>
              <w:t>en s</w:t>
            </w:r>
            <w:r w:rsidR="00EE4925" w:rsidRPr="002753BB">
              <w:rPr>
                <w:lang w:val="fr-CA"/>
              </w:rPr>
              <w:t xml:space="preserve">ont exclus </w:t>
            </w:r>
            <w:r w:rsidR="001A1CAF" w:rsidRPr="002753BB">
              <w:rPr>
                <w:lang w:val="fr-CA"/>
              </w:rPr>
              <w:t>:</w:t>
            </w:r>
          </w:p>
          <w:p w14:paraId="1AD4C1B2" w14:textId="2316A821" w:rsidR="006E6E2B" w:rsidRPr="00571249" w:rsidRDefault="00A77601" w:rsidP="00DB1F75">
            <w:pPr>
              <w:pStyle w:val="Default"/>
              <w:numPr>
                <w:ilvl w:val="0"/>
                <w:numId w:val="12"/>
              </w:numPr>
              <w:rPr>
                <w:lang w:val="fr-CA"/>
              </w:rPr>
            </w:pPr>
            <w:r w:rsidRPr="002753BB">
              <w:rPr>
                <w:color w:val="auto"/>
                <w:sz w:val="22"/>
                <w:szCs w:val="22"/>
                <w:lang w:val="fr-CA"/>
              </w:rPr>
              <w:t>les notes, procès-verbaux, rapports, questionnaires, sondages et autres documents utilisés comme outil de travail dans la conduite des affaires du Conseil, des comités, groupes de travail ou autres organismes officiels de l</w:t>
            </w:r>
            <w:r w:rsidR="00DE655F">
              <w:rPr>
                <w:color w:val="auto"/>
                <w:sz w:val="22"/>
                <w:szCs w:val="22"/>
                <w:lang w:val="fr-CA"/>
              </w:rPr>
              <w:t>’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Institut avant leur acceptation finale et leur approbation par le Conseil, le comité, le groupe de travail ou l</w:t>
            </w:r>
            <w:r w:rsidR="008C2E60">
              <w:rPr>
                <w:color w:val="auto"/>
                <w:sz w:val="22"/>
                <w:szCs w:val="22"/>
                <w:lang w:val="fr-CA"/>
              </w:rPr>
              <w:t>’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organisme officiel de l</w:t>
            </w:r>
            <w:r w:rsidR="008C2E60">
              <w:rPr>
                <w:color w:val="auto"/>
                <w:sz w:val="22"/>
                <w:szCs w:val="22"/>
                <w:lang w:val="fr-CA"/>
              </w:rPr>
              <w:t>’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 xml:space="preserve">Institut </w:t>
            </w:r>
            <w:r w:rsidR="008C2E60">
              <w:rPr>
                <w:color w:val="auto"/>
                <w:sz w:val="22"/>
                <w:szCs w:val="22"/>
                <w:lang w:val="fr-CA"/>
              </w:rPr>
              <w:t>concerné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;</w:t>
            </w:r>
            <w:r w:rsidR="006E6E2B" w:rsidRPr="00571249">
              <w:rPr>
                <w:sz w:val="22"/>
                <w:szCs w:val="22"/>
                <w:lang w:val="fr-CA"/>
              </w:rPr>
              <w:t xml:space="preserve"> </w:t>
            </w:r>
          </w:p>
          <w:p w14:paraId="6F178AC6" w14:textId="710C4733" w:rsidR="006E6E2B" w:rsidRPr="00571249" w:rsidRDefault="00A77601" w:rsidP="00DB1F75">
            <w:pPr>
              <w:pStyle w:val="Default"/>
              <w:numPr>
                <w:ilvl w:val="0"/>
                <w:numId w:val="12"/>
              </w:numPr>
              <w:rPr>
                <w:lang w:val="fr-CA"/>
              </w:rPr>
            </w:pPr>
            <w:r w:rsidRPr="002753BB">
              <w:rPr>
                <w:color w:val="auto"/>
                <w:sz w:val="22"/>
                <w:szCs w:val="22"/>
                <w:lang w:val="fr-CA"/>
              </w:rPr>
              <w:t>les comptes rendus des réunions des exécutifs de groupe et de sous-groupe, ceux des conseils régionaux et des exécutifs de région et de chapitre, avant leur acceptation f</w:t>
            </w:r>
            <w:r w:rsidR="008C2E60">
              <w:rPr>
                <w:color w:val="auto"/>
                <w:sz w:val="22"/>
                <w:szCs w:val="22"/>
                <w:lang w:val="fr-CA"/>
              </w:rPr>
              <w:t>inale et leur approbation par l’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 xml:space="preserve">organisme </w:t>
            </w:r>
            <w:r w:rsidR="008C2E60">
              <w:rPr>
                <w:color w:val="auto"/>
                <w:sz w:val="22"/>
                <w:szCs w:val="22"/>
                <w:lang w:val="fr-CA"/>
              </w:rPr>
              <w:t>concerné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;</w:t>
            </w:r>
            <w:r w:rsidR="006E6E2B" w:rsidRPr="00571249">
              <w:rPr>
                <w:sz w:val="22"/>
                <w:szCs w:val="22"/>
                <w:lang w:val="fr-CA"/>
              </w:rPr>
              <w:t xml:space="preserve"> </w:t>
            </w:r>
          </w:p>
          <w:p w14:paraId="7533C836" w14:textId="4A3D5E61" w:rsidR="006E6E2B" w:rsidRPr="00571249" w:rsidRDefault="00A77601" w:rsidP="00DB1F75">
            <w:pPr>
              <w:pStyle w:val="Default"/>
              <w:numPr>
                <w:ilvl w:val="0"/>
                <w:numId w:val="12"/>
              </w:numPr>
              <w:rPr>
                <w:lang w:val="fr-CA"/>
              </w:rPr>
            </w:pPr>
            <w:r w:rsidRPr="002753BB">
              <w:rPr>
                <w:color w:val="auto"/>
                <w:sz w:val="22"/>
                <w:szCs w:val="22"/>
                <w:lang w:val="fr-CA"/>
              </w:rPr>
              <w:t>les dossiers personnels d</w:t>
            </w:r>
            <w:r w:rsidR="008C2E60">
              <w:rPr>
                <w:color w:val="auto"/>
                <w:sz w:val="22"/>
                <w:szCs w:val="22"/>
                <w:lang w:val="fr-CA"/>
              </w:rPr>
              <w:t xml:space="preserve">es membres du personnel 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de l</w:t>
            </w:r>
            <w:r w:rsidR="008C2E60">
              <w:rPr>
                <w:color w:val="auto"/>
                <w:sz w:val="22"/>
                <w:szCs w:val="22"/>
                <w:lang w:val="fr-CA"/>
              </w:rPr>
              <w:t>’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Institut;</w:t>
            </w:r>
            <w:r w:rsidR="006E6E2B" w:rsidRPr="00571249">
              <w:rPr>
                <w:sz w:val="22"/>
                <w:szCs w:val="22"/>
                <w:lang w:val="fr-CA"/>
              </w:rPr>
              <w:t xml:space="preserve"> </w:t>
            </w:r>
          </w:p>
          <w:p w14:paraId="5E94AA3D" w14:textId="4496475E" w:rsidR="006E6E2B" w:rsidRPr="00571249" w:rsidRDefault="00A77601" w:rsidP="00DB1F75">
            <w:pPr>
              <w:pStyle w:val="Default"/>
              <w:numPr>
                <w:ilvl w:val="0"/>
                <w:numId w:val="12"/>
              </w:numPr>
              <w:rPr>
                <w:lang w:val="fr-CA"/>
              </w:rPr>
            </w:pPr>
            <w:r w:rsidRPr="002753BB">
              <w:rPr>
                <w:color w:val="auto"/>
                <w:sz w:val="22"/>
                <w:szCs w:val="22"/>
                <w:lang w:val="fr-CA"/>
              </w:rPr>
              <w:t>les dossiers personnels des membres de l</w:t>
            </w:r>
            <w:r w:rsidR="008C2E60">
              <w:rPr>
                <w:color w:val="auto"/>
                <w:sz w:val="22"/>
                <w:szCs w:val="22"/>
                <w:lang w:val="fr-CA"/>
              </w:rPr>
              <w:t>’</w:t>
            </w:r>
            <w:r w:rsidRPr="002753BB">
              <w:rPr>
                <w:color w:val="auto"/>
                <w:sz w:val="22"/>
                <w:szCs w:val="22"/>
                <w:lang w:val="fr-CA"/>
              </w:rPr>
              <w:t>Institut.</w:t>
            </w:r>
            <w:r w:rsidR="006E6E2B" w:rsidRPr="00571249">
              <w:rPr>
                <w:sz w:val="22"/>
                <w:szCs w:val="22"/>
                <w:lang w:val="fr-CA"/>
              </w:rPr>
              <w:t xml:space="preserve"> </w:t>
            </w:r>
          </w:p>
          <w:p w14:paraId="6A192E8B" w14:textId="08585D38" w:rsidR="006E6E2B" w:rsidRPr="00E01BD8" w:rsidRDefault="00A77601" w:rsidP="00DE655F">
            <w:pPr>
              <w:spacing w:before="120"/>
              <w:rPr>
                <w:lang w:val="fr-CA"/>
              </w:rPr>
            </w:pPr>
            <w:r w:rsidRPr="002753BB">
              <w:rPr>
                <w:szCs w:val="22"/>
                <w:lang w:val="fr-CA"/>
              </w:rPr>
              <w:t xml:space="preserve">Toutefois, tous ces documents peuvent être rendus publics </w:t>
            </w:r>
            <w:r w:rsidR="00DE655F">
              <w:rPr>
                <w:szCs w:val="22"/>
                <w:lang w:val="fr-CA"/>
              </w:rPr>
              <w:t xml:space="preserve">avec le consentement de </w:t>
            </w:r>
            <w:r w:rsidR="00DE655F" w:rsidRPr="002753BB">
              <w:rPr>
                <w:szCs w:val="22"/>
                <w:lang w:val="fr-CA"/>
              </w:rPr>
              <w:t>la personne</w:t>
            </w:r>
            <w:r w:rsidR="00DE655F">
              <w:rPr>
                <w:szCs w:val="22"/>
                <w:lang w:val="fr-CA"/>
              </w:rPr>
              <w:t xml:space="preserve"> ou de </w:t>
            </w:r>
            <w:r w:rsidRPr="002753BB">
              <w:rPr>
                <w:szCs w:val="22"/>
                <w:lang w:val="fr-CA"/>
              </w:rPr>
              <w:t>l</w:t>
            </w:r>
            <w:r w:rsidR="00571249" w:rsidRPr="002753BB">
              <w:rPr>
                <w:szCs w:val="22"/>
                <w:lang w:val="fr-CA"/>
              </w:rPr>
              <w:t>’</w:t>
            </w:r>
            <w:r w:rsidRPr="002753BB">
              <w:rPr>
                <w:szCs w:val="22"/>
                <w:lang w:val="fr-CA"/>
              </w:rPr>
              <w:t xml:space="preserve">organisme </w:t>
            </w:r>
            <w:r w:rsidR="00DE655F">
              <w:rPr>
                <w:szCs w:val="22"/>
                <w:lang w:val="fr-CA"/>
              </w:rPr>
              <w:t>concerné</w:t>
            </w:r>
            <w:r w:rsidRPr="002753BB">
              <w:rPr>
                <w:szCs w:val="22"/>
                <w:lang w:val="fr-CA"/>
              </w:rPr>
              <w:t>.</w:t>
            </w:r>
            <w:r w:rsidR="006E6E2B" w:rsidRPr="00E01BD8">
              <w:rPr>
                <w:lang w:val="fr-CA"/>
              </w:rPr>
              <w:t xml:space="preserve"> </w:t>
            </w:r>
          </w:p>
        </w:tc>
      </w:tr>
      <w:tr w:rsidR="00014308" w:rsidRPr="00A52AAD" w14:paraId="19BC5C1B" w14:textId="77777777" w:rsidTr="00E0725A">
        <w:trPr>
          <w:cantSplit/>
        </w:trPr>
        <w:tc>
          <w:tcPr>
            <w:tcW w:w="2628" w:type="dxa"/>
          </w:tcPr>
          <w:p w14:paraId="5D285A08" w14:textId="3A69585E" w:rsidR="00014308" w:rsidRPr="00360D2B" w:rsidRDefault="00A77601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t>Publication de documents</w:t>
            </w:r>
          </w:p>
        </w:tc>
        <w:tc>
          <w:tcPr>
            <w:tcW w:w="7344" w:type="dxa"/>
          </w:tcPr>
          <w:p w14:paraId="2D9D5D3E" w14:textId="7AE39FCC" w:rsidR="00442E34" w:rsidRPr="00360D2B" w:rsidRDefault="00A77601" w:rsidP="00DB1F75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L’Institut peut refuser de publier, en format papier ou électronique, un document qui lui est remis s’il ne rapporte pas exactement les faits, s’il va à l’encontre des politiques et </w:t>
            </w:r>
            <w:r w:rsidR="00360D2B" w:rsidRPr="002753BB">
              <w:rPr>
                <w:lang w:val="fr-CA"/>
              </w:rPr>
              <w:t xml:space="preserve">des </w:t>
            </w:r>
            <w:r w:rsidRPr="002753BB">
              <w:rPr>
                <w:lang w:val="fr-CA"/>
              </w:rPr>
              <w:t>principes de l’Institu</w:t>
            </w:r>
            <w:r w:rsidR="00937D18">
              <w:rPr>
                <w:lang w:val="fr-CA"/>
              </w:rPr>
              <w:t xml:space="preserve">t, s’il est diffamatoire, s’il enfreint </w:t>
            </w:r>
            <w:r w:rsidRPr="002753BB">
              <w:rPr>
                <w:lang w:val="fr-CA"/>
              </w:rPr>
              <w:t xml:space="preserve">des droits d’auteur ou s’il </w:t>
            </w:r>
            <w:r w:rsidR="00937D18">
              <w:rPr>
                <w:lang w:val="fr-CA"/>
              </w:rPr>
              <w:t>risque</w:t>
            </w:r>
            <w:r w:rsidRPr="002753BB">
              <w:rPr>
                <w:lang w:val="fr-CA"/>
              </w:rPr>
              <w:t xml:space="preserve"> d’e</w:t>
            </w:r>
            <w:r w:rsidR="00D84759">
              <w:rPr>
                <w:lang w:val="fr-CA"/>
              </w:rPr>
              <w:t>xposer l’Institut à</w:t>
            </w:r>
            <w:r w:rsidRPr="002753BB">
              <w:rPr>
                <w:lang w:val="fr-CA"/>
              </w:rPr>
              <w:t xml:space="preserve"> des poursuites.</w:t>
            </w:r>
          </w:p>
          <w:p w14:paraId="7012BBD2" w14:textId="0B922FF5" w:rsidR="00014308" w:rsidRPr="00E01BD8" w:rsidRDefault="00937D18" w:rsidP="00937D18">
            <w:pPr>
              <w:spacing w:before="120"/>
              <w:rPr>
                <w:lang w:val="fr-CA"/>
              </w:rPr>
            </w:pPr>
            <w:r>
              <w:rPr>
                <w:lang w:val="fr-CA"/>
              </w:rPr>
              <w:t>Les publications de l’</w:t>
            </w:r>
            <w:r w:rsidR="00A77601" w:rsidRPr="002753BB">
              <w:rPr>
                <w:lang w:val="fr-CA"/>
              </w:rPr>
              <w:t xml:space="preserve">Institut professionnel imprimées </w:t>
            </w:r>
            <w:r w:rsidR="00360D2B" w:rsidRPr="002753BB">
              <w:rPr>
                <w:lang w:val="fr-CA"/>
              </w:rPr>
              <w:t>par des tiers externes</w:t>
            </w:r>
            <w:r w:rsidR="00A77601" w:rsidRPr="002753BB">
              <w:rPr>
                <w:lang w:val="fr-CA"/>
              </w:rPr>
              <w:t xml:space="preserve"> le sont, dans la mesure du possible, par des imprimeries syndicalisées situées au Canada, et ces publicatio</w:t>
            </w:r>
            <w:r w:rsidR="00360D2B" w:rsidRPr="002753BB">
              <w:rPr>
                <w:lang w:val="fr-CA"/>
              </w:rPr>
              <w:t>ns arborent clairement le logo ou l’insigne s</w:t>
            </w:r>
            <w:r w:rsidR="00A77601" w:rsidRPr="002753BB">
              <w:rPr>
                <w:lang w:val="fr-CA"/>
              </w:rPr>
              <w:t>yndical de l</w:t>
            </w:r>
            <w:r>
              <w:rPr>
                <w:lang w:val="fr-CA"/>
              </w:rPr>
              <w:t>’</w:t>
            </w:r>
            <w:r w:rsidR="00A77601" w:rsidRPr="002753BB">
              <w:rPr>
                <w:lang w:val="fr-CA"/>
              </w:rPr>
              <w:t>imprimeur.</w:t>
            </w:r>
          </w:p>
        </w:tc>
      </w:tr>
      <w:tr w:rsidR="00F979A4" w:rsidRPr="00A52AAD" w14:paraId="6624A390" w14:textId="77777777" w:rsidTr="004938D4">
        <w:trPr>
          <w:cantSplit/>
        </w:trPr>
        <w:tc>
          <w:tcPr>
            <w:tcW w:w="2628" w:type="dxa"/>
          </w:tcPr>
          <w:p w14:paraId="7F13CD00" w14:textId="07E0D899" w:rsidR="00F979A4" w:rsidRPr="00E111B3" w:rsidRDefault="00A77601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lastRenderedPageBreak/>
              <w:t>Logos</w:t>
            </w:r>
          </w:p>
        </w:tc>
        <w:tc>
          <w:tcPr>
            <w:tcW w:w="7344" w:type="dxa"/>
          </w:tcPr>
          <w:p w14:paraId="35AC6B0B" w14:textId="62E8CE12" w:rsidR="00F979A4" w:rsidRPr="0065740B" w:rsidRDefault="00A77601" w:rsidP="00DB1F75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>Un identificateur de groupe peut être utilisé aux conditions suivantes :</w:t>
            </w:r>
            <w:r w:rsidR="00F979A4" w:rsidRPr="00E01BD8">
              <w:rPr>
                <w:lang w:val="fr-CA"/>
              </w:rPr>
              <w:t xml:space="preserve"> </w:t>
            </w:r>
          </w:p>
          <w:p w14:paraId="32934A28" w14:textId="52B2C4C9" w:rsidR="00F979A4" w:rsidRPr="0065740B" w:rsidRDefault="00A77601" w:rsidP="00DB1F75">
            <w:pPr>
              <w:numPr>
                <w:ilvl w:val="0"/>
                <w:numId w:val="9"/>
              </w:num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>les identificateurs so</w:t>
            </w:r>
            <w:r w:rsidR="0065740B" w:rsidRPr="002753BB">
              <w:rPr>
                <w:lang w:val="fr-CA"/>
              </w:rPr>
              <w:t>n</w:t>
            </w:r>
            <w:r w:rsidRPr="002753BB">
              <w:rPr>
                <w:lang w:val="fr-CA"/>
              </w:rPr>
              <w:t>t approuvés par le Comité exécutif;</w:t>
            </w:r>
          </w:p>
          <w:p w14:paraId="5790AD1B" w14:textId="4975BF78" w:rsidR="00F979A4" w:rsidRPr="006705F5" w:rsidRDefault="00A77601" w:rsidP="00DB1F75">
            <w:pPr>
              <w:numPr>
                <w:ilvl w:val="0"/>
                <w:numId w:val="9"/>
              </w:num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les identificateurs ne remplacent pas </w:t>
            </w:r>
            <w:r w:rsidR="006705F5" w:rsidRPr="002753BB">
              <w:rPr>
                <w:lang w:val="fr-CA"/>
              </w:rPr>
              <w:t xml:space="preserve">ni ne cachent </w:t>
            </w:r>
            <w:r w:rsidR="0051197F" w:rsidRPr="002753BB">
              <w:rPr>
                <w:lang w:val="fr-CA"/>
              </w:rPr>
              <w:t>le</w:t>
            </w:r>
            <w:r w:rsidRPr="002753BB">
              <w:rPr>
                <w:lang w:val="fr-CA"/>
              </w:rPr>
              <w:t xml:space="preserve"> logo o</w:t>
            </w:r>
            <w:r w:rsidR="006705F5" w:rsidRPr="002753BB">
              <w:rPr>
                <w:lang w:val="fr-CA"/>
              </w:rPr>
              <w:t>u</w:t>
            </w:r>
            <w:r w:rsidRPr="002753BB">
              <w:rPr>
                <w:lang w:val="fr-CA"/>
              </w:rPr>
              <w:t xml:space="preserve"> l</w:t>
            </w:r>
            <w:r w:rsidR="00937D18">
              <w:rPr>
                <w:lang w:val="fr-CA"/>
              </w:rPr>
              <w:t>’adresse de l’</w:t>
            </w:r>
            <w:r w:rsidRPr="002753BB">
              <w:rPr>
                <w:lang w:val="fr-CA"/>
              </w:rPr>
              <w:t>Institut</w:t>
            </w:r>
            <w:r w:rsidR="006705F5" w:rsidRPr="002753BB">
              <w:rPr>
                <w:lang w:val="fr-CA"/>
              </w:rPr>
              <w:t xml:space="preserve"> et leur</w:t>
            </w:r>
            <w:r w:rsidRPr="002753BB">
              <w:rPr>
                <w:lang w:val="fr-CA"/>
              </w:rPr>
              <w:t xml:space="preserve"> emplacement </w:t>
            </w:r>
            <w:r w:rsidR="006705F5" w:rsidRPr="002753BB">
              <w:rPr>
                <w:lang w:val="fr-CA"/>
              </w:rPr>
              <w:t>es</w:t>
            </w:r>
            <w:r w:rsidRPr="002753BB">
              <w:rPr>
                <w:lang w:val="fr-CA"/>
              </w:rPr>
              <w:t>t conforme au règlement des Postes;</w:t>
            </w:r>
          </w:p>
          <w:p w14:paraId="644DD713" w14:textId="13CCA229" w:rsidR="00F979A4" w:rsidRPr="006705F5" w:rsidRDefault="00A77601" w:rsidP="00DB1F75">
            <w:pPr>
              <w:numPr>
                <w:ilvl w:val="0"/>
                <w:numId w:val="9"/>
              </w:num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les frais d’impression additionnels </w:t>
            </w:r>
            <w:r w:rsidR="006705F5" w:rsidRPr="002753BB">
              <w:rPr>
                <w:lang w:val="fr-CA"/>
              </w:rPr>
              <w:t>sont</w:t>
            </w:r>
            <w:r w:rsidRPr="002753BB">
              <w:rPr>
                <w:lang w:val="fr-CA"/>
              </w:rPr>
              <w:t xml:space="preserve"> assumés par le groupe ou la région </w:t>
            </w:r>
            <w:r w:rsidR="005E175A" w:rsidRPr="002753BB">
              <w:rPr>
                <w:lang w:val="fr-CA"/>
              </w:rPr>
              <w:t>concerné</w:t>
            </w:r>
            <w:r w:rsidRPr="002753BB">
              <w:rPr>
                <w:lang w:val="fr-CA"/>
              </w:rPr>
              <w:t>e</w:t>
            </w:r>
            <w:r w:rsidR="006705F5" w:rsidRPr="002753BB">
              <w:rPr>
                <w:lang w:val="fr-CA"/>
              </w:rPr>
              <w:t>.</w:t>
            </w:r>
          </w:p>
          <w:p w14:paraId="1940CDD2" w14:textId="39687586" w:rsidR="00F979A4" w:rsidRPr="00E01BD8" w:rsidRDefault="00DC48F4" w:rsidP="002753BB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>T</w:t>
            </w:r>
            <w:r w:rsidR="00A77601" w:rsidRPr="002753BB">
              <w:rPr>
                <w:lang w:val="fr-CA"/>
              </w:rPr>
              <w:t xml:space="preserve">ous les articles promotionnels que les organismes constituants achètent </w:t>
            </w:r>
            <w:r w:rsidR="002A21D6" w:rsidRPr="002753BB">
              <w:rPr>
                <w:lang w:val="fr-CA"/>
              </w:rPr>
              <w:t>doivent porter</w:t>
            </w:r>
            <w:r w:rsidR="00A77601" w:rsidRPr="002753BB">
              <w:rPr>
                <w:lang w:val="fr-CA"/>
              </w:rPr>
              <w:t xml:space="preserve"> le logo de l</w:t>
            </w:r>
            <w:r w:rsidR="00617DE4">
              <w:rPr>
                <w:lang w:val="fr-CA"/>
              </w:rPr>
              <w:t>’</w:t>
            </w:r>
            <w:r w:rsidR="00A77601" w:rsidRPr="002753BB">
              <w:rPr>
                <w:lang w:val="fr-CA"/>
              </w:rPr>
              <w:t>Institut.</w:t>
            </w:r>
            <w:r w:rsidR="00F979A4" w:rsidRPr="00E01BD8">
              <w:rPr>
                <w:lang w:val="fr-CA"/>
              </w:rPr>
              <w:t xml:space="preserve"> </w:t>
            </w:r>
          </w:p>
        </w:tc>
      </w:tr>
      <w:tr w:rsidR="00014308" w:rsidRPr="00A52AAD" w14:paraId="35867C22" w14:textId="77777777" w:rsidTr="00E0725A">
        <w:trPr>
          <w:cantSplit/>
        </w:trPr>
        <w:tc>
          <w:tcPr>
            <w:tcW w:w="2628" w:type="dxa"/>
          </w:tcPr>
          <w:p w14:paraId="6A26322D" w14:textId="1D38D890" w:rsidR="00014308" w:rsidRPr="002A21D6" w:rsidRDefault="002A21D6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b/>
                <w:sz w:val="24"/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t>Site Web de l’Institut</w:t>
            </w:r>
          </w:p>
        </w:tc>
        <w:tc>
          <w:tcPr>
            <w:tcW w:w="7344" w:type="dxa"/>
          </w:tcPr>
          <w:p w14:paraId="57D4A34E" w14:textId="6E8740D9" w:rsidR="00CC0C13" w:rsidRPr="009673C6" w:rsidRDefault="009673C6" w:rsidP="00DB1F75">
            <w:pPr>
              <w:spacing w:before="120"/>
              <w:rPr>
                <w:lang w:val="fr-CA"/>
              </w:rPr>
            </w:pPr>
            <w:r w:rsidRPr="002753BB">
              <w:rPr>
                <w:b/>
                <w:bCs/>
                <w:lang w:val="fr-CA"/>
              </w:rPr>
              <w:t>Droits de rédaction du matériel publié sur le site Web</w:t>
            </w:r>
            <w:r w:rsidR="00CC0C13" w:rsidRPr="009673C6">
              <w:rPr>
                <w:b/>
                <w:bCs/>
                <w:lang w:val="fr-CA"/>
              </w:rPr>
              <w:t xml:space="preserve"> </w:t>
            </w:r>
          </w:p>
          <w:p w14:paraId="57D11E96" w14:textId="75C5F5EE" w:rsidR="00CC0C13" w:rsidRPr="00DC7AAE" w:rsidRDefault="00A77601" w:rsidP="00DB1F75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>L’Institut conserve les droits d</w:t>
            </w:r>
            <w:r w:rsidR="006777C9" w:rsidRPr="002753BB">
              <w:rPr>
                <w:lang w:val="fr-CA"/>
              </w:rPr>
              <w:t>e rédaction</w:t>
            </w:r>
            <w:r w:rsidRPr="002753BB">
              <w:rPr>
                <w:lang w:val="fr-CA"/>
              </w:rPr>
              <w:t xml:space="preserve"> des textes publiés sur son site Web.</w:t>
            </w:r>
            <w:r w:rsidR="00CC0C13" w:rsidRPr="00DC7AAE">
              <w:rPr>
                <w:lang w:val="fr-CA"/>
              </w:rPr>
              <w:t xml:space="preserve"> </w:t>
            </w:r>
            <w:r w:rsidRPr="002753BB">
              <w:rPr>
                <w:lang w:val="fr-CA"/>
              </w:rPr>
              <w:t>Ces droits sont exercés par la Section des communications</w:t>
            </w:r>
            <w:r w:rsidR="00937D18">
              <w:rPr>
                <w:lang w:val="fr-CA"/>
              </w:rPr>
              <w:t xml:space="preserve"> et des politiques</w:t>
            </w:r>
            <w:r w:rsidRPr="002753BB">
              <w:rPr>
                <w:lang w:val="fr-CA"/>
              </w:rPr>
              <w:t xml:space="preserve">, sous la direction du </w:t>
            </w:r>
            <w:r w:rsidR="00937D18">
              <w:rPr>
                <w:lang w:val="fr-CA"/>
              </w:rPr>
              <w:t xml:space="preserve">(de la) </w:t>
            </w:r>
            <w:r w:rsidR="006777C9" w:rsidRPr="002753BB">
              <w:rPr>
                <w:lang w:val="fr-CA"/>
              </w:rPr>
              <w:t>p</w:t>
            </w:r>
            <w:r w:rsidRPr="002753BB">
              <w:rPr>
                <w:lang w:val="fr-CA"/>
              </w:rPr>
              <w:t>résident</w:t>
            </w:r>
            <w:r w:rsidR="00937D18">
              <w:rPr>
                <w:lang w:val="fr-CA"/>
              </w:rPr>
              <w:t>(e)</w:t>
            </w:r>
            <w:r w:rsidRPr="002753BB">
              <w:rPr>
                <w:lang w:val="fr-CA"/>
              </w:rPr>
              <w:t xml:space="preserve"> ou de </w:t>
            </w:r>
            <w:r w:rsidR="00937D18">
              <w:rPr>
                <w:lang w:val="fr-CA"/>
              </w:rPr>
              <w:t>la personne désignée qui le (la) remplace</w:t>
            </w:r>
            <w:r w:rsidRPr="002753BB">
              <w:rPr>
                <w:lang w:val="fr-CA"/>
              </w:rPr>
              <w:t>.</w:t>
            </w:r>
          </w:p>
          <w:p w14:paraId="2A14A6DF" w14:textId="2B919F6E" w:rsidR="00CC0C13" w:rsidRPr="006777C9" w:rsidRDefault="006777C9" w:rsidP="00DB1F75">
            <w:pPr>
              <w:tabs>
                <w:tab w:val="num" w:pos="720"/>
              </w:tabs>
              <w:spacing w:before="120"/>
              <w:rPr>
                <w:b/>
                <w:bCs/>
                <w:lang w:val="fr-CA"/>
              </w:rPr>
            </w:pPr>
            <w:r w:rsidRPr="002753BB">
              <w:rPr>
                <w:b/>
                <w:bCs/>
                <w:lang w:val="fr-CA"/>
              </w:rPr>
              <w:t>Coûts et considérations techniques</w:t>
            </w:r>
            <w:r w:rsidR="00EC42F2">
              <w:rPr>
                <w:b/>
                <w:bCs/>
                <w:lang w:val="fr-CA"/>
              </w:rPr>
              <w:t xml:space="preserve"> </w:t>
            </w:r>
          </w:p>
          <w:p w14:paraId="0C8F3BC2" w14:textId="6A405B56" w:rsidR="00CC0C13" w:rsidRPr="006777C9" w:rsidRDefault="00A77601" w:rsidP="00DB1F75">
            <w:pPr>
              <w:tabs>
                <w:tab w:val="num" w:pos="720"/>
              </w:tabs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Les documents soumis </w:t>
            </w:r>
            <w:r w:rsidR="00575451">
              <w:rPr>
                <w:lang w:val="fr-CA"/>
              </w:rPr>
              <w:t xml:space="preserve">à des fins de </w:t>
            </w:r>
            <w:r w:rsidRPr="002753BB">
              <w:rPr>
                <w:lang w:val="fr-CA"/>
              </w:rPr>
              <w:t xml:space="preserve">publication peuvent être révisés, reformatés ou rejetés en raison de </w:t>
            </w:r>
            <w:r w:rsidR="006777C9" w:rsidRPr="002753BB">
              <w:rPr>
                <w:lang w:val="fr-CA"/>
              </w:rPr>
              <w:t>contraintes inhérentes au site W</w:t>
            </w:r>
            <w:r w:rsidRPr="002753BB">
              <w:rPr>
                <w:lang w:val="fr-CA"/>
              </w:rPr>
              <w:t>eb</w:t>
            </w:r>
            <w:r w:rsidR="006777C9" w:rsidRPr="002753BB">
              <w:rPr>
                <w:lang w:val="fr-CA"/>
              </w:rPr>
              <w:t xml:space="preserve"> ou de</w:t>
            </w:r>
            <w:r w:rsidRPr="002753BB">
              <w:rPr>
                <w:lang w:val="fr-CA"/>
              </w:rPr>
              <w:t xml:space="preserve"> considérations techniques ou </w:t>
            </w:r>
            <w:r w:rsidR="006777C9" w:rsidRPr="002753BB">
              <w:rPr>
                <w:lang w:val="fr-CA"/>
              </w:rPr>
              <w:t>économiques</w:t>
            </w:r>
            <w:r w:rsidRPr="002753BB">
              <w:rPr>
                <w:lang w:val="fr-CA"/>
              </w:rPr>
              <w:t>.</w:t>
            </w:r>
          </w:p>
          <w:p w14:paraId="77D0954B" w14:textId="057597E4" w:rsidR="00CC0C13" w:rsidRPr="006777C9" w:rsidRDefault="00A77601" w:rsidP="00DB1F75">
            <w:pPr>
              <w:tabs>
                <w:tab w:val="num" w:pos="720"/>
              </w:tabs>
              <w:spacing w:before="120"/>
              <w:rPr>
                <w:lang w:val="fr-CA"/>
              </w:rPr>
            </w:pPr>
            <w:r w:rsidRPr="002753BB">
              <w:rPr>
                <w:b/>
                <w:bCs/>
                <w:lang w:val="fr-CA"/>
              </w:rPr>
              <w:t>Format</w:t>
            </w:r>
            <w:r w:rsidR="00CC0C13" w:rsidRPr="00E01BD8">
              <w:rPr>
                <w:b/>
                <w:bCs/>
                <w:lang w:val="fr-CA"/>
              </w:rPr>
              <w:t xml:space="preserve"> </w:t>
            </w:r>
          </w:p>
          <w:p w14:paraId="565FD54B" w14:textId="7D74C7BC" w:rsidR="00014308" w:rsidRPr="003E1CDB" w:rsidRDefault="00A77601" w:rsidP="00575451">
            <w:pPr>
              <w:tabs>
                <w:tab w:val="num" w:pos="720"/>
              </w:tabs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Les </w:t>
            </w:r>
            <w:r w:rsidR="006777C9" w:rsidRPr="002753BB">
              <w:rPr>
                <w:lang w:val="fr-CA"/>
              </w:rPr>
              <w:t>membres</w:t>
            </w:r>
            <w:r w:rsidRPr="002753BB">
              <w:rPr>
                <w:lang w:val="fr-CA"/>
              </w:rPr>
              <w:t xml:space="preserve"> qui soume</w:t>
            </w:r>
            <w:r w:rsidR="006777C9" w:rsidRPr="002753BB">
              <w:rPr>
                <w:lang w:val="fr-CA"/>
              </w:rPr>
              <w:t>ttent des documents sont invité</w:t>
            </w:r>
            <w:r w:rsidR="00DE655F">
              <w:rPr>
                <w:lang w:val="fr-CA"/>
              </w:rPr>
              <w:t>(e)</w:t>
            </w:r>
            <w:r w:rsidRPr="002753BB">
              <w:rPr>
                <w:lang w:val="fr-CA"/>
              </w:rPr>
              <w:t xml:space="preserve">s à le faire </w:t>
            </w:r>
            <w:r w:rsidR="006777C9" w:rsidRPr="002753BB">
              <w:rPr>
                <w:lang w:val="fr-CA"/>
              </w:rPr>
              <w:t>dans</w:t>
            </w:r>
            <w:r w:rsidRPr="002753BB">
              <w:rPr>
                <w:lang w:val="fr-CA"/>
              </w:rPr>
              <w:t xml:space="preserve"> un format compatible </w:t>
            </w:r>
            <w:r w:rsidR="006777C9" w:rsidRPr="002753BB">
              <w:rPr>
                <w:lang w:val="fr-CA"/>
              </w:rPr>
              <w:t>avec</w:t>
            </w:r>
            <w:r w:rsidRPr="002753BB">
              <w:rPr>
                <w:lang w:val="fr-CA"/>
              </w:rPr>
              <w:t xml:space="preserve"> ceux utilisés par l’Institut.</w:t>
            </w:r>
            <w:r w:rsidR="00CC0C13" w:rsidRPr="00E01BD8">
              <w:rPr>
                <w:lang w:val="fr-CA"/>
              </w:rPr>
              <w:t xml:space="preserve"> </w:t>
            </w:r>
            <w:r w:rsidRPr="002753BB">
              <w:rPr>
                <w:lang w:val="fr-CA"/>
              </w:rPr>
              <w:t>Les membres qui songent à remettre des documents sont invité</w:t>
            </w:r>
            <w:r w:rsidR="00DE655F">
              <w:rPr>
                <w:lang w:val="fr-CA"/>
              </w:rPr>
              <w:t>(e)</w:t>
            </w:r>
            <w:r w:rsidRPr="002753BB">
              <w:rPr>
                <w:lang w:val="fr-CA"/>
              </w:rPr>
              <w:t xml:space="preserve">s à communiquer avec la Section des communications </w:t>
            </w:r>
            <w:r w:rsidR="00575451">
              <w:rPr>
                <w:lang w:val="fr-CA"/>
              </w:rPr>
              <w:t xml:space="preserve">et des politiques </w:t>
            </w:r>
            <w:r w:rsidRPr="002753BB">
              <w:rPr>
                <w:lang w:val="fr-CA"/>
              </w:rPr>
              <w:t xml:space="preserve">ou </w:t>
            </w:r>
            <w:r w:rsidR="00575451">
              <w:rPr>
                <w:lang w:val="fr-CA"/>
              </w:rPr>
              <w:t>la Section de l’i</w:t>
            </w:r>
            <w:r w:rsidRPr="002753BB">
              <w:rPr>
                <w:lang w:val="fr-CA"/>
              </w:rPr>
              <w:t xml:space="preserve">nformatique </w:t>
            </w:r>
            <w:r w:rsidR="003E1CDB" w:rsidRPr="002753BB">
              <w:rPr>
                <w:lang w:val="fr-CA"/>
              </w:rPr>
              <w:t xml:space="preserve">pour connaître les </w:t>
            </w:r>
            <w:r w:rsidRPr="002753BB">
              <w:rPr>
                <w:lang w:val="fr-CA"/>
              </w:rPr>
              <w:t>formats préférés.</w:t>
            </w:r>
          </w:p>
        </w:tc>
      </w:tr>
      <w:tr w:rsidR="00F979A4" w:rsidRPr="00A52AAD" w14:paraId="3264EFC4" w14:textId="77777777" w:rsidTr="00E0725A">
        <w:trPr>
          <w:cantSplit/>
        </w:trPr>
        <w:tc>
          <w:tcPr>
            <w:tcW w:w="2628" w:type="dxa"/>
          </w:tcPr>
          <w:p w14:paraId="6173C275" w14:textId="41292011" w:rsidR="00F979A4" w:rsidRPr="003E1CDB" w:rsidRDefault="00A77601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t>Utilisation des médias sociaux et d</w:t>
            </w:r>
            <w:r w:rsidR="003E1CDB" w:rsidRPr="002753BB">
              <w:rPr>
                <w:b/>
                <w:sz w:val="24"/>
                <w:lang w:val="fr-CA"/>
              </w:rPr>
              <w:t>es courriels</w:t>
            </w:r>
          </w:p>
        </w:tc>
        <w:tc>
          <w:tcPr>
            <w:tcW w:w="7344" w:type="dxa"/>
          </w:tcPr>
          <w:p w14:paraId="7BC7E229" w14:textId="49BAD559" w:rsidR="00F979A4" w:rsidRPr="003E1CDB" w:rsidRDefault="00A77601" w:rsidP="00DB1F75">
            <w:pPr>
              <w:spacing w:before="120"/>
              <w:rPr>
                <w:lang w:val="fr-CA"/>
              </w:rPr>
            </w:pPr>
            <w:r w:rsidRPr="002753BB">
              <w:rPr>
                <w:bCs/>
                <w:lang w:val="fr-CA"/>
              </w:rPr>
              <w:t>Les médias sociaux sont généralement utilisés pour la diffusion et la recherche d’information et de points de vue.</w:t>
            </w:r>
            <w:r w:rsidR="00F979A4" w:rsidRPr="00E01BD8">
              <w:rPr>
                <w:bCs/>
                <w:lang w:val="fr-CA"/>
              </w:rPr>
              <w:t xml:space="preserve"> </w:t>
            </w:r>
            <w:r w:rsidRPr="002753BB">
              <w:rPr>
                <w:bCs/>
                <w:lang w:val="fr-CA"/>
              </w:rPr>
              <w:t>Ils peuvent également être utilisés pour reconnaître ou soutenir des personnes, des organismes et des causes.</w:t>
            </w:r>
          </w:p>
          <w:p w14:paraId="3396DA28" w14:textId="36A5CD8B" w:rsidR="00B060DA" w:rsidRPr="00787E77" w:rsidRDefault="00901ADA" w:rsidP="00DB1F75">
            <w:pPr>
              <w:spacing w:before="120"/>
              <w:rPr>
                <w:lang w:val="fr-CA"/>
              </w:rPr>
            </w:pPr>
            <w:r w:rsidRPr="002753BB">
              <w:rPr>
                <w:bCs/>
                <w:lang w:val="fr-CA"/>
              </w:rPr>
              <w:t>Les communications internes se font généralement par courriel à l’Institut.</w:t>
            </w:r>
            <w:r w:rsidR="00B060DA" w:rsidRPr="00074AF4">
              <w:rPr>
                <w:bCs/>
                <w:lang w:val="fr-CA"/>
              </w:rPr>
              <w:t xml:space="preserve"> </w:t>
            </w:r>
            <w:r w:rsidR="002B3910" w:rsidRPr="002753BB">
              <w:rPr>
                <w:bCs/>
                <w:lang w:val="fr-CA"/>
              </w:rPr>
              <w:t>Le</w:t>
            </w:r>
            <w:r w:rsidR="00A77601" w:rsidRPr="002753BB">
              <w:rPr>
                <w:bCs/>
                <w:lang w:val="fr-CA"/>
              </w:rPr>
              <w:t xml:space="preserve"> vocabulaire employé dans les </w:t>
            </w:r>
            <w:r w:rsidR="002B3910" w:rsidRPr="002753BB">
              <w:rPr>
                <w:bCs/>
                <w:lang w:val="fr-CA"/>
              </w:rPr>
              <w:t>courriels devrait témoigner des</w:t>
            </w:r>
            <w:r w:rsidR="00A77601" w:rsidRPr="002753BB">
              <w:rPr>
                <w:bCs/>
                <w:lang w:val="fr-CA"/>
              </w:rPr>
              <w:t xml:space="preserve"> valeurs et du professionnalisme de l’Institut.</w:t>
            </w:r>
          </w:p>
          <w:p w14:paraId="30F7EDA7" w14:textId="68F9DCB1" w:rsidR="00F979A4" w:rsidRPr="00201E58" w:rsidRDefault="00787E77" w:rsidP="00A52AAD">
            <w:pPr>
              <w:spacing w:before="120"/>
              <w:rPr>
                <w:rFonts w:cs="Calibri"/>
                <w:bCs/>
                <w:color w:val="000000"/>
                <w:szCs w:val="22"/>
                <w:lang w:val="fr-CA"/>
              </w:rPr>
            </w:pPr>
            <w:r w:rsidRPr="002753BB">
              <w:rPr>
                <w:rFonts w:cs="Calibri"/>
                <w:bCs/>
                <w:szCs w:val="22"/>
                <w:lang w:val="fr-CA"/>
              </w:rPr>
              <w:t>L’Institut s’attend à ce</w:t>
            </w:r>
            <w:r w:rsidR="007E6E58" w:rsidRPr="002753BB">
              <w:rPr>
                <w:rFonts w:cs="Calibri"/>
                <w:bCs/>
                <w:szCs w:val="22"/>
                <w:lang w:val="fr-CA"/>
              </w:rPr>
              <w:t xml:space="preserve"> que les membres aient des échan</w:t>
            </w:r>
            <w:r w:rsidRPr="002753BB">
              <w:rPr>
                <w:rFonts w:cs="Calibri"/>
                <w:bCs/>
                <w:szCs w:val="22"/>
                <w:lang w:val="fr-CA"/>
              </w:rPr>
              <w:t xml:space="preserve">ges respectueux dans les médias sociaux et adoptent un comportement conforme aux Lignes directrices </w:t>
            </w:r>
            <w:r w:rsidR="00582C4C">
              <w:rPr>
                <w:rFonts w:cs="Calibri"/>
                <w:bCs/>
                <w:szCs w:val="22"/>
                <w:lang w:val="fr-CA"/>
              </w:rPr>
              <w:t>su</w:t>
            </w:r>
            <w:r w:rsidRPr="002753BB">
              <w:rPr>
                <w:rFonts w:cs="Calibri"/>
                <w:bCs/>
                <w:szCs w:val="22"/>
                <w:lang w:val="fr-CA"/>
              </w:rPr>
              <w:t>r l’utilisation des médias sociaux</w:t>
            </w:r>
            <w:r w:rsidR="00A52AAD">
              <w:rPr>
                <w:rFonts w:cs="Calibri"/>
                <w:bCs/>
                <w:szCs w:val="22"/>
                <w:lang w:val="fr-CA"/>
              </w:rPr>
              <w:t xml:space="preserve"> (Annexe A) et aux </w:t>
            </w:r>
            <w:r w:rsidR="00A52AAD" w:rsidRPr="002753BB">
              <w:rPr>
                <w:lang w:val="fr-CA"/>
              </w:rPr>
              <w:t>Lignes directrices sur les communications par courriel</w:t>
            </w:r>
            <w:r w:rsidR="00A52AAD">
              <w:rPr>
                <w:lang w:val="fr-CA"/>
              </w:rPr>
              <w:t xml:space="preserve"> (Annex B)</w:t>
            </w:r>
            <w:r w:rsidR="002970E8">
              <w:rPr>
                <w:rFonts w:cs="Calibri"/>
                <w:bCs/>
                <w:szCs w:val="22"/>
                <w:lang w:val="fr-CA"/>
              </w:rPr>
              <w:t>.</w:t>
            </w:r>
          </w:p>
        </w:tc>
      </w:tr>
      <w:tr w:rsidR="00F979A4" w:rsidRPr="00A52AAD" w14:paraId="7D3AF1B8" w14:textId="77777777" w:rsidTr="00E0725A">
        <w:trPr>
          <w:cantSplit/>
        </w:trPr>
        <w:tc>
          <w:tcPr>
            <w:tcW w:w="2628" w:type="dxa"/>
          </w:tcPr>
          <w:p w14:paraId="5A839965" w14:textId="6C58A247" w:rsidR="00F979A4" w:rsidRPr="00201E58" w:rsidRDefault="00201E58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b/>
                <w:sz w:val="24"/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lastRenderedPageBreak/>
              <w:t>Responsabilité relative aux comptes de médias sociaux de l’Institut</w:t>
            </w:r>
          </w:p>
        </w:tc>
        <w:tc>
          <w:tcPr>
            <w:tcW w:w="7344" w:type="dxa"/>
          </w:tcPr>
          <w:p w14:paraId="37A4182C" w14:textId="04C7733E" w:rsidR="00F979A4" w:rsidRPr="00201E58" w:rsidRDefault="00A77601" w:rsidP="00DB1F75">
            <w:pPr>
              <w:spacing w:before="120"/>
              <w:rPr>
                <w:bCs/>
                <w:lang w:val="fr-CA"/>
              </w:rPr>
            </w:pPr>
            <w:r w:rsidRPr="002753BB">
              <w:rPr>
                <w:bCs/>
                <w:lang w:val="fr-CA"/>
              </w:rPr>
              <w:t>L’IPFPC est responsable de la création et du maintien des comptes que l’Institut a sur diverses plateformes et qui sont destinés à promouvoir ses intérêts.</w:t>
            </w:r>
            <w:r w:rsidR="00F979A4" w:rsidRPr="00DC7AAE">
              <w:rPr>
                <w:bCs/>
                <w:lang w:val="fr-CA"/>
              </w:rPr>
              <w:t xml:space="preserve"> </w:t>
            </w:r>
            <w:r w:rsidR="00201E58" w:rsidRPr="002753BB">
              <w:rPr>
                <w:bCs/>
                <w:lang w:val="fr-CA"/>
              </w:rPr>
              <w:t xml:space="preserve">Dans la présente politique, le terme « compte » désigne également les pages et les sites Web de l’Institut. </w:t>
            </w:r>
          </w:p>
          <w:p w14:paraId="2D402913" w14:textId="75BC5E8D" w:rsidR="00F979A4" w:rsidRPr="0050150A" w:rsidRDefault="00A77601" w:rsidP="00DB1F75">
            <w:pPr>
              <w:spacing w:before="120"/>
              <w:rPr>
                <w:bCs/>
                <w:lang w:val="fr-CA"/>
              </w:rPr>
            </w:pPr>
            <w:r w:rsidRPr="002753BB">
              <w:rPr>
                <w:bCs/>
                <w:lang w:val="fr-CA"/>
              </w:rPr>
              <w:t>Un organisme constituant peut créer et tenir ses propres comptes sur diverses plateformes, selon la décision de son exécutif.</w:t>
            </w:r>
            <w:r w:rsidR="00F979A4" w:rsidRPr="00DC7AAE">
              <w:rPr>
                <w:bCs/>
                <w:lang w:val="fr-CA"/>
              </w:rPr>
              <w:t xml:space="preserve"> </w:t>
            </w:r>
            <w:r w:rsidRPr="002753BB">
              <w:rPr>
                <w:bCs/>
                <w:lang w:val="fr-CA"/>
              </w:rPr>
              <w:t>L’exécutif de l’organisme constituant est alors responsable du contenu et de la surveillance des comptes et désigne un</w:t>
            </w:r>
            <w:r w:rsidR="00F46864">
              <w:rPr>
                <w:bCs/>
                <w:lang w:val="fr-CA"/>
              </w:rPr>
              <w:t>(e)</w:t>
            </w:r>
            <w:r w:rsidRPr="002753BB">
              <w:rPr>
                <w:bCs/>
                <w:lang w:val="fr-CA"/>
              </w:rPr>
              <w:t xml:space="preserve"> modérateur</w:t>
            </w:r>
            <w:r w:rsidR="00F46864">
              <w:rPr>
                <w:bCs/>
                <w:lang w:val="fr-CA"/>
              </w:rPr>
              <w:t>(-trice)</w:t>
            </w:r>
            <w:r w:rsidRPr="002753BB">
              <w:rPr>
                <w:bCs/>
                <w:lang w:val="fr-CA"/>
              </w:rPr>
              <w:t>.</w:t>
            </w:r>
            <w:r w:rsidR="00F979A4" w:rsidRPr="00DC7AAE">
              <w:rPr>
                <w:bCs/>
                <w:lang w:val="fr-CA"/>
              </w:rPr>
              <w:t xml:space="preserve"> </w:t>
            </w:r>
            <w:r w:rsidR="0050150A" w:rsidRPr="002753BB">
              <w:rPr>
                <w:bCs/>
                <w:lang w:val="fr-CA"/>
              </w:rPr>
              <w:t>Les détails relatifs à chaque compte et les coordonnées des modérateurs</w:t>
            </w:r>
            <w:r w:rsidR="00F46864">
              <w:rPr>
                <w:bCs/>
                <w:lang w:val="fr-CA"/>
              </w:rPr>
              <w:t>(-trices)</w:t>
            </w:r>
            <w:r w:rsidR="0050150A" w:rsidRPr="002753BB">
              <w:rPr>
                <w:bCs/>
                <w:lang w:val="fr-CA"/>
              </w:rPr>
              <w:t xml:space="preserve"> doivent être fournis à l’Institut et régulièrement mis à jour.</w:t>
            </w:r>
          </w:p>
          <w:p w14:paraId="05A099DA" w14:textId="5C9A24B9" w:rsidR="00F979A4" w:rsidRPr="0050150A" w:rsidRDefault="00A77601" w:rsidP="00F46864">
            <w:pPr>
              <w:spacing w:before="120"/>
              <w:rPr>
                <w:lang w:val="fr-CA"/>
              </w:rPr>
            </w:pPr>
            <w:r w:rsidRPr="002753BB">
              <w:rPr>
                <w:bCs/>
                <w:lang w:val="fr-CA"/>
              </w:rPr>
              <w:t>La création de tout autre compte qui peut raisonnablement donner l’impression d’être géré par l’Institut ou en son nom est interdite à moins d’être explicitement autorisée par l’Institut.</w:t>
            </w:r>
            <w:r w:rsidR="00F979A4" w:rsidRPr="00DC7AAE">
              <w:rPr>
                <w:bCs/>
                <w:lang w:val="fr-CA"/>
              </w:rPr>
              <w:t xml:space="preserve"> </w:t>
            </w:r>
            <w:r w:rsidRPr="002753BB">
              <w:rPr>
                <w:bCs/>
                <w:lang w:val="fr-CA"/>
              </w:rPr>
              <w:t>L’Institut se réserve le droit de contrôler et de modifier ou de retirer, au besoin, tout contenu affiché en lien avec ses comptes.</w:t>
            </w:r>
            <w:r w:rsidR="00F979A4" w:rsidRPr="00DC7AAE">
              <w:rPr>
                <w:bCs/>
                <w:lang w:val="fr-CA"/>
              </w:rPr>
              <w:t xml:space="preserve"> </w:t>
            </w:r>
            <w:r w:rsidRPr="002753BB">
              <w:rPr>
                <w:bCs/>
                <w:lang w:val="fr-CA"/>
              </w:rPr>
              <w:t>L’Institut peut ordonner à l’exécutif d’un organisme constituant de modifier ou de retirer tout contenu ext</w:t>
            </w:r>
            <w:r w:rsidR="00F46864">
              <w:rPr>
                <w:bCs/>
                <w:lang w:val="fr-CA"/>
              </w:rPr>
              <w:t>erne</w:t>
            </w:r>
            <w:r w:rsidRPr="002753BB">
              <w:rPr>
                <w:bCs/>
                <w:lang w:val="fr-CA"/>
              </w:rPr>
              <w:t xml:space="preserve"> ayant un rapport avec ses comptes.</w:t>
            </w:r>
            <w:r w:rsidR="00F979A4" w:rsidRPr="00DC7AAE">
              <w:rPr>
                <w:bCs/>
                <w:lang w:val="fr-CA"/>
              </w:rPr>
              <w:t xml:space="preserve"> </w:t>
            </w:r>
            <w:r w:rsidR="00F46864">
              <w:rPr>
                <w:bCs/>
                <w:lang w:val="fr-CA"/>
              </w:rPr>
              <w:t xml:space="preserve">Aucun </w:t>
            </w:r>
            <w:r w:rsidRPr="002753BB">
              <w:rPr>
                <w:bCs/>
                <w:lang w:val="fr-CA"/>
              </w:rPr>
              <w:t>contenu non conforme aux Lignes directrices ne sera toléré.</w:t>
            </w:r>
          </w:p>
        </w:tc>
      </w:tr>
      <w:tr w:rsidR="005C358F" w:rsidRPr="00A52AAD" w14:paraId="72EBA845" w14:textId="77777777" w:rsidTr="00E0725A">
        <w:trPr>
          <w:cantSplit/>
        </w:trPr>
        <w:tc>
          <w:tcPr>
            <w:tcW w:w="2628" w:type="dxa"/>
          </w:tcPr>
          <w:p w14:paraId="1B25C983" w14:textId="0D1555F2" w:rsidR="005C358F" w:rsidRPr="0050150A" w:rsidRDefault="00A77601" w:rsidP="002753BB">
            <w:pPr>
              <w:pStyle w:val="ListParagraph"/>
              <w:numPr>
                <w:ilvl w:val="0"/>
                <w:numId w:val="17"/>
              </w:numPr>
              <w:spacing w:before="120"/>
              <w:outlineLvl w:val="2"/>
              <w:rPr>
                <w:lang w:val="fr-CA"/>
              </w:rPr>
            </w:pPr>
            <w:r w:rsidRPr="002753BB">
              <w:rPr>
                <w:b/>
                <w:sz w:val="24"/>
                <w:lang w:val="fr-CA"/>
              </w:rPr>
              <w:t>Références</w:t>
            </w:r>
          </w:p>
        </w:tc>
        <w:tc>
          <w:tcPr>
            <w:tcW w:w="7344" w:type="dxa"/>
          </w:tcPr>
          <w:p w14:paraId="7220F745" w14:textId="1101A431" w:rsidR="005C358F" w:rsidRDefault="0050150A" w:rsidP="00DB1F75">
            <w:pPr>
              <w:spacing w:before="120"/>
            </w:pPr>
            <w:r w:rsidRPr="002753BB">
              <w:rPr>
                <w:lang w:val="fr-CA"/>
              </w:rPr>
              <w:t>Article 7.1.3</w:t>
            </w:r>
          </w:p>
          <w:p w14:paraId="6AEB8D1C" w14:textId="251CC655" w:rsidR="002235B2" w:rsidRPr="0050150A" w:rsidRDefault="0050150A" w:rsidP="00DB1F75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Annexe A – </w:t>
            </w:r>
            <w:r w:rsidR="00A77601" w:rsidRPr="002753BB">
              <w:rPr>
                <w:lang w:val="fr-CA"/>
              </w:rPr>
              <w:t>L</w:t>
            </w:r>
            <w:r w:rsidRPr="002753BB">
              <w:rPr>
                <w:lang w:val="fr-CA"/>
              </w:rPr>
              <w:t>ignes directrices sur l’utilisation des médias sociaux</w:t>
            </w:r>
          </w:p>
          <w:p w14:paraId="13B070FF" w14:textId="71612E9E" w:rsidR="00B060DA" w:rsidRPr="00E01BD8" w:rsidRDefault="0050150A" w:rsidP="002753BB">
            <w:pPr>
              <w:spacing w:before="120"/>
              <w:rPr>
                <w:lang w:val="fr-CA"/>
              </w:rPr>
            </w:pPr>
            <w:r w:rsidRPr="002753BB">
              <w:rPr>
                <w:lang w:val="fr-CA"/>
              </w:rPr>
              <w:t xml:space="preserve">Annexe B – </w:t>
            </w:r>
            <w:r w:rsidR="00A77601" w:rsidRPr="002753BB">
              <w:rPr>
                <w:lang w:val="fr-CA"/>
              </w:rPr>
              <w:t xml:space="preserve">Lignes directrices </w:t>
            </w:r>
            <w:r w:rsidRPr="002753BB">
              <w:rPr>
                <w:lang w:val="fr-CA"/>
              </w:rPr>
              <w:t>su</w:t>
            </w:r>
            <w:r w:rsidR="00A77601" w:rsidRPr="002753BB">
              <w:rPr>
                <w:lang w:val="fr-CA"/>
              </w:rPr>
              <w:t>r les communications par courriel</w:t>
            </w:r>
          </w:p>
        </w:tc>
      </w:tr>
    </w:tbl>
    <w:p w14:paraId="55A363C3" w14:textId="77777777" w:rsidR="003872A6" w:rsidRPr="00E01BD8" w:rsidRDefault="003872A6" w:rsidP="00DB1F75">
      <w:pPr>
        <w:spacing w:line="240" w:lineRule="auto"/>
        <w:rPr>
          <w:rFonts w:cstheme="minorHAnsi"/>
          <w:sz w:val="24"/>
          <w:lang w:val="fr-CA"/>
        </w:rPr>
      </w:pPr>
    </w:p>
    <w:p w14:paraId="7837240D" w14:textId="7E159F6C" w:rsidR="003872A6" w:rsidRPr="00E01BD8" w:rsidRDefault="003872A6" w:rsidP="00DB1F75">
      <w:pPr>
        <w:spacing w:line="240" w:lineRule="auto"/>
        <w:rPr>
          <w:rFonts w:cstheme="minorHAnsi"/>
          <w:sz w:val="24"/>
          <w:lang w:val="fr-CA"/>
        </w:rPr>
      </w:pPr>
    </w:p>
    <w:p w14:paraId="1E91F570" w14:textId="60817F42" w:rsidR="00CD4147" w:rsidRPr="00E01BD8" w:rsidRDefault="00CD4147" w:rsidP="00DB1F75">
      <w:pPr>
        <w:spacing w:line="240" w:lineRule="auto"/>
        <w:rPr>
          <w:rFonts w:cstheme="minorHAnsi"/>
          <w:sz w:val="24"/>
          <w:lang w:val="fr-CA"/>
        </w:rPr>
      </w:pPr>
      <w:r w:rsidRPr="00E01BD8">
        <w:rPr>
          <w:rFonts w:cstheme="minorHAnsi"/>
          <w:sz w:val="24"/>
          <w:lang w:val="fr-CA"/>
        </w:rPr>
        <w:br w:type="page"/>
      </w:r>
    </w:p>
    <w:p w14:paraId="62FC024F" w14:textId="4034D3DE" w:rsidR="00CD4147" w:rsidRPr="0050150A" w:rsidRDefault="0050150A" w:rsidP="00DB1F75">
      <w:pPr>
        <w:pStyle w:val="Heading1"/>
        <w:spacing w:before="120" w:after="240" w:line="240" w:lineRule="auto"/>
        <w:jc w:val="center"/>
        <w:rPr>
          <w:lang w:val="fr-CA"/>
        </w:rPr>
      </w:pPr>
      <w:r w:rsidRPr="00A52AAD">
        <w:rPr>
          <w:rFonts w:asciiTheme="minorHAnsi" w:hAnsiTheme="minorHAnsi" w:cstheme="minorHAnsi"/>
          <w:sz w:val="28"/>
        </w:rPr>
        <w:lastRenderedPageBreak/>
        <w:t>Annexe A</w:t>
      </w:r>
      <w:r w:rsidR="00DB1F75" w:rsidRPr="00E01BD8">
        <w:rPr>
          <w:rFonts w:asciiTheme="minorHAnsi" w:hAnsiTheme="minorHAnsi" w:cstheme="minorHAnsi"/>
          <w:sz w:val="28"/>
          <w:lang w:val="fr-CA"/>
        </w:rPr>
        <w:br/>
      </w:r>
      <w:r w:rsidR="00A77601" w:rsidRPr="00A52AAD">
        <w:rPr>
          <w:rFonts w:asciiTheme="minorHAnsi" w:hAnsiTheme="minorHAnsi" w:cstheme="minorHAnsi"/>
          <w:b/>
          <w:sz w:val="28"/>
        </w:rPr>
        <w:t>L</w:t>
      </w:r>
      <w:r w:rsidRPr="00A52AAD">
        <w:rPr>
          <w:rFonts w:asciiTheme="minorHAnsi" w:hAnsiTheme="minorHAnsi" w:cstheme="minorHAnsi"/>
          <w:b/>
          <w:sz w:val="28"/>
        </w:rPr>
        <w:t>ignes directrices sur l’utilisation des médias sociaux</w:t>
      </w:r>
    </w:p>
    <w:p w14:paraId="6C02C6A1" w14:textId="7D0ED85B" w:rsidR="00CD4147" w:rsidRPr="00E01BD8" w:rsidRDefault="00A77601" w:rsidP="00DB1F75">
      <w:pPr>
        <w:spacing w:line="240" w:lineRule="auto"/>
        <w:rPr>
          <w:lang w:val="fr-CA"/>
        </w:rPr>
      </w:pPr>
      <w:r w:rsidRPr="002753BB">
        <w:rPr>
          <w:lang w:val="fr-CA"/>
        </w:rPr>
        <w:t>Les membres sont libres d’utiliser les médias sociaux en exerçant leur liberté d’expression.</w:t>
      </w:r>
      <w:r w:rsidR="00CD4147" w:rsidRPr="00E01BD8">
        <w:rPr>
          <w:lang w:val="fr-CA"/>
        </w:rPr>
        <w:t xml:space="preserve"> </w:t>
      </w:r>
      <w:r w:rsidRPr="002753BB">
        <w:rPr>
          <w:lang w:val="fr-CA"/>
        </w:rPr>
        <w:t xml:space="preserve">Toutefois, ce faisant, ils </w:t>
      </w:r>
      <w:r w:rsidR="0025413B">
        <w:rPr>
          <w:lang w:val="fr-CA"/>
        </w:rPr>
        <w:t xml:space="preserve">(elles) </w:t>
      </w:r>
      <w:r w:rsidRPr="002753BB">
        <w:rPr>
          <w:lang w:val="fr-CA"/>
        </w:rPr>
        <w:t>doivent toujours être conscient</w:t>
      </w:r>
      <w:r w:rsidR="0025413B">
        <w:rPr>
          <w:lang w:val="fr-CA"/>
        </w:rPr>
        <w:t>(e)</w:t>
      </w:r>
      <w:r w:rsidRPr="002753BB">
        <w:rPr>
          <w:lang w:val="fr-CA"/>
        </w:rPr>
        <w:t xml:space="preserve">s de leur obligation de respecter </w:t>
      </w:r>
      <w:r w:rsidR="0025413B">
        <w:rPr>
          <w:lang w:val="fr-CA"/>
        </w:rPr>
        <w:t>les autres</w:t>
      </w:r>
      <w:r w:rsidRPr="002753BB">
        <w:rPr>
          <w:lang w:val="fr-CA"/>
        </w:rPr>
        <w:t xml:space="preserve"> et de leur devoir de loyauté envers l’employeur.</w:t>
      </w:r>
      <w:r w:rsidR="00CD4147" w:rsidRPr="00E01BD8">
        <w:rPr>
          <w:lang w:val="fr-CA"/>
        </w:rPr>
        <w:t xml:space="preserve"> </w:t>
      </w:r>
      <w:r w:rsidRPr="002753BB">
        <w:rPr>
          <w:lang w:val="fr-CA"/>
        </w:rPr>
        <w:t xml:space="preserve">Les présentes lignes directrices visent à aider les membres </w:t>
      </w:r>
      <w:r w:rsidR="003C5CCA" w:rsidRPr="002753BB">
        <w:rPr>
          <w:lang w:val="fr-CA"/>
        </w:rPr>
        <w:t xml:space="preserve">à communiquer </w:t>
      </w:r>
      <w:r w:rsidRPr="002753BB">
        <w:rPr>
          <w:lang w:val="fr-CA"/>
        </w:rPr>
        <w:t>dans les médias sociaux.</w:t>
      </w:r>
    </w:p>
    <w:p w14:paraId="418AF657" w14:textId="24F508D2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Aucun message publié ne peut </w:t>
      </w:r>
      <w:r w:rsidR="0025413B">
        <w:rPr>
          <w:lang w:val="fr-CA"/>
        </w:rPr>
        <w:t>enfreindre</w:t>
      </w:r>
      <w:r w:rsidRPr="002753BB">
        <w:rPr>
          <w:lang w:val="fr-CA"/>
        </w:rPr>
        <w:t xml:space="preserve"> </w:t>
      </w:r>
      <w:r w:rsidR="00895015">
        <w:rPr>
          <w:lang w:val="fr-CA"/>
        </w:rPr>
        <w:t>la</w:t>
      </w:r>
      <w:r w:rsidRPr="002753BB">
        <w:rPr>
          <w:lang w:val="fr-CA"/>
        </w:rPr>
        <w:t xml:space="preserve"> loi ni encourager ou suggérer des activités illégales;</w:t>
      </w:r>
    </w:p>
    <w:p w14:paraId="0B193828" w14:textId="5557A3C2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Conformez-vous aux conditions d’utilisation </w:t>
      </w:r>
      <w:r w:rsidR="00895015">
        <w:rPr>
          <w:lang w:val="fr-CA"/>
        </w:rPr>
        <w:t>d</w:t>
      </w:r>
      <w:r w:rsidRPr="002753BB">
        <w:rPr>
          <w:lang w:val="fr-CA"/>
        </w:rPr>
        <w:t>es diverses plate</w:t>
      </w:r>
      <w:r w:rsidR="00646060" w:rsidRPr="002753BB">
        <w:rPr>
          <w:lang w:val="fr-CA"/>
        </w:rPr>
        <w:t>f</w:t>
      </w:r>
      <w:r w:rsidRPr="002753BB">
        <w:rPr>
          <w:lang w:val="fr-CA"/>
        </w:rPr>
        <w:t>ormes de médias sociaux que vous utilisez;</w:t>
      </w:r>
    </w:p>
    <w:p w14:paraId="618C141F" w14:textId="4798F7A1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>Ne publiez pas de messages qui peuvent être considérés comme racistes, haineux, sexistes, homophobes, diffamatoires, abusifs, menaçants, humiliants ou dégradants;</w:t>
      </w:r>
    </w:p>
    <w:p w14:paraId="55ECCEF0" w14:textId="4788043B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>Faites preuve d’honnêteté et d’ouverture, mais pensez à l’effet que votre contribution pourrait avoir sur l</w:t>
      </w:r>
      <w:r w:rsidR="003C5CCA" w:rsidRPr="002753BB">
        <w:rPr>
          <w:lang w:val="fr-CA"/>
        </w:rPr>
        <w:t xml:space="preserve">’image de </w:t>
      </w:r>
      <w:r w:rsidRPr="002753BB">
        <w:rPr>
          <w:lang w:val="fr-CA"/>
        </w:rPr>
        <w:t>l’Institut;</w:t>
      </w:r>
    </w:p>
    <w:p w14:paraId="78CBB9AE" w14:textId="4D0D94FD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>Ne dévoilez jamais de renseignements confidentiels, privés ou de nature délicate dans les médias sociaux;</w:t>
      </w:r>
    </w:p>
    <w:p w14:paraId="3A9F4903" w14:textId="1DB52F89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Faites </w:t>
      </w:r>
      <w:r w:rsidR="003C5CCA" w:rsidRPr="002753BB">
        <w:rPr>
          <w:lang w:val="fr-CA"/>
        </w:rPr>
        <w:t>le nécessaire</w:t>
      </w:r>
      <w:r w:rsidRPr="002753BB">
        <w:rPr>
          <w:lang w:val="fr-CA"/>
        </w:rPr>
        <w:t xml:space="preserve"> pour assurer l’exactitude de l’information que vous publiez;</w:t>
      </w:r>
    </w:p>
    <w:p w14:paraId="0BC0DB39" w14:textId="061288C8" w:rsidR="00CD4147" w:rsidRPr="003C5CCA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>N</w:t>
      </w:r>
      <w:r w:rsidR="004D3172">
        <w:rPr>
          <w:lang w:val="fr-CA"/>
        </w:rPr>
        <w:t xml:space="preserve">’affichez pas, ne téléchargez pas et </w:t>
      </w:r>
      <w:r w:rsidR="00617DE4">
        <w:rPr>
          <w:lang w:val="fr-CA"/>
        </w:rPr>
        <w:t>ne r</w:t>
      </w:r>
      <w:r w:rsidR="004D3172">
        <w:rPr>
          <w:lang w:val="fr-CA"/>
        </w:rPr>
        <w:t>elayez pas de</w:t>
      </w:r>
      <w:r w:rsidRPr="002753BB">
        <w:rPr>
          <w:lang w:val="fr-CA"/>
        </w:rPr>
        <w:t xml:space="preserve"> lien</w:t>
      </w:r>
      <w:r w:rsidR="004D3172">
        <w:rPr>
          <w:lang w:val="fr-CA"/>
        </w:rPr>
        <w:t>s</w:t>
      </w:r>
      <w:r w:rsidRPr="002753BB">
        <w:rPr>
          <w:lang w:val="fr-CA"/>
        </w:rPr>
        <w:t xml:space="preserve"> </w:t>
      </w:r>
      <w:r w:rsidR="004D3172">
        <w:rPr>
          <w:lang w:val="fr-CA"/>
        </w:rPr>
        <w:t>vers</w:t>
      </w:r>
      <w:r w:rsidRPr="002753BB">
        <w:rPr>
          <w:lang w:val="fr-CA"/>
        </w:rPr>
        <w:t xml:space="preserve"> une chaîne de courriels ou du pourriel;</w:t>
      </w:r>
    </w:p>
    <w:p w14:paraId="00A6D91A" w14:textId="45833A11" w:rsidR="00CD4147" w:rsidRPr="00E94092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>Utilisez les médias sociaux dans vos temps libres et avec vos propres ressources et non pas avec celles de l’employeur;</w:t>
      </w:r>
    </w:p>
    <w:p w14:paraId="1BE36130" w14:textId="3BBF48C4" w:rsidR="00CD4147" w:rsidRPr="00BA7080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Ne publiez pas de </w:t>
      </w:r>
      <w:r w:rsidR="00BA7080" w:rsidRPr="002753BB">
        <w:rPr>
          <w:lang w:val="fr-CA"/>
        </w:rPr>
        <w:t>contenu</w:t>
      </w:r>
      <w:r w:rsidRPr="002753BB">
        <w:rPr>
          <w:lang w:val="fr-CA"/>
        </w:rPr>
        <w:t xml:space="preserve"> agressif, grossier, violent, obscène ou pornographique;</w:t>
      </w:r>
    </w:p>
    <w:p w14:paraId="7D141E64" w14:textId="58E12EAD" w:rsidR="00CD4147" w:rsidRPr="00BA7080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>Assurez-vous d’avoir la permission de l’Institut avant d’utiliser de l’information qui lui appartient (logos, slogans, dessins graphiques, etc.)</w:t>
      </w:r>
      <w:r w:rsidR="00BA7080" w:rsidRPr="002753BB">
        <w:rPr>
          <w:lang w:val="fr-CA"/>
        </w:rPr>
        <w:t>;</w:t>
      </w:r>
    </w:p>
    <w:p w14:paraId="1D051C4E" w14:textId="4B969E19" w:rsidR="00CD4147" w:rsidRPr="00BA7080" w:rsidRDefault="00A77601" w:rsidP="00DB1F75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À moins d’avoir l’autorisation de l’Institut, n’utilisez pas les médias sociaux à des fins de publicité ou de sollicitation </w:t>
      </w:r>
      <w:r w:rsidR="00BA7080" w:rsidRPr="002753BB">
        <w:rPr>
          <w:lang w:val="fr-CA"/>
        </w:rPr>
        <w:t>à</w:t>
      </w:r>
      <w:r w:rsidRPr="002753BB">
        <w:rPr>
          <w:lang w:val="fr-CA"/>
        </w:rPr>
        <w:t xml:space="preserve"> but lucratif.</w:t>
      </w:r>
    </w:p>
    <w:p w14:paraId="609AD7F8" w14:textId="35A1EC10" w:rsidR="00CD4147" w:rsidRPr="00E01BD8" w:rsidRDefault="00CD4147" w:rsidP="00DB1F75">
      <w:pPr>
        <w:spacing w:line="240" w:lineRule="auto"/>
        <w:rPr>
          <w:rFonts w:cstheme="minorHAnsi"/>
          <w:sz w:val="24"/>
          <w:lang w:val="fr-CA"/>
        </w:rPr>
      </w:pPr>
    </w:p>
    <w:p w14:paraId="1FEA0326" w14:textId="6F877A68" w:rsidR="00CD4147" w:rsidRPr="00E01BD8" w:rsidRDefault="00CD4147" w:rsidP="00DB1F75">
      <w:pPr>
        <w:spacing w:line="240" w:lineRule="auto"/>
        <w:rPr>
          <w:rFonts w:cstheme="minorHAnsi"/>
          <w:sz w:val="24"/>
          <w:lang w:val="fr-CA"/>
        </w:rPr>
      </w:pPr>
      <w:r w:rsidRPr="00E01BD8">
        <w:rPr>
          <w:rFonts w:cstheme="minorHAnsi"/>
          <w:sz w:val="24"/>
          <w:lang w:val="fr-CA"/>
        </w:rPr>
        <w:br w:type="page"/>
      </w:r>
    </w:p>
    <w:p w14:paraId="3B6FCB10" w14:textId="16A6449D" w:rsidR="00CD4147" w:rsidRPr="00A52AAD" w:rsidRDefault="00BA7080" w:rsidP="00DB1F75">
      <w:pPr>
        <w:pStyle w:val="Heading1"/>
        <w:spacing w:before="120" w:after="24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A52AAD">
        <w:rPr>
          <w:rFonts w:asciiTheme="minorHAnsi" w:hAnsiTheme="minorHAnsi" w:cstheme="minorHAnsi"/>
          <w:sz w:val="28"/>
        </w:rPr>
        <w:lastRenderedPageBreak/>
        <w:t>Annexe B</w:t>
      </w:r>
      <w:r w:rsidR="00DB1F75" w:rsidRPr="00E01BD8">
        <w:rPr>
          <w:rFonts w:asciiTheme="minorHAnsi" w:hAnsiTheme="minorHAnsi" w:cstheme="minorHAnsi"/>
          <w:sz w:val="28"/>
          <w:lang w:val="fr-CA"/>
        </w:rPr>
        <w:br/>
      </w:r>
      <w:r w:rsidR="00A77601" w:rsidRPr="00A52AAD">
        <w:rPr>
          <w:rFonts w:asciiTheme="minorHAnsi" w:hAnsiTheme="minorHAnsi" w:cstheme="minorHAnsi"/>
          <w:b/>
          <w:sz w:val="28"/>
        </w:rPr>
        <w:t xml:space="preserve">Lignes directrices </w:t>
      </w:r>
      <w:r w:rsidRPr="00A52AAD">
        <w:rPr>
          <w:rFonts w:asciiTheme="minorHAnsi" w:hAnsiTheme="minorHAnsi" w:cstheme="minorHAnsi"/>
          <w:b/>
          <w:sz w:val="28"/>
        </w:rPr>
        <w:t>s</w:t>
      </w:r>
      <w:r w:rsidR="00A77601" w:rsidRPr="00A52AAD">
        <w:rPr>
          <w:rFonts w:asciiTheme="minorHAnsi" w:hAnsiTheme="minorHAnsi" w:cstheme="minorHAnsi"/>
          <w:b/>
          <w:sz w:val="28"/>
        </w:rPr>
        <w:t>ur les communications par courriel</w:t>
      </w:r>
    </w:p>
    <w:p w14:paraId="654FC61B" w14:textId="558A64C7" w:rsidR="00CD4147" w:rsidRPr="00E01BD8" w:rsidRDefault="00A77601" w:rsidP="00DB1F75">
      <w:pPr>
        <w:spacing w:after="120" w:line="240" w:lineRule="auto"/>
        <w:rPr>
          <w:lang w:val="fr-CA"/>
        </w:rPr>
      </w:pPr>
      <w:r w:rsidRPr="002753BB">
        <w:rPr>
          <w:lang w:val="fr-CA"/>
        </w:rPr>
        <w:t>L’Institut veut assurer une utilisation professionnelle et respectueuse du système de courrier électronique et fournir à s</w:t>
      </w:r>
      <w:r w:rsidR="0047667B">
        <w:rPr>
          <w:lang w:val="fr-CA"/>
        </w:rPr>
        <w:t>on personnel</w:t>
      </w:r>
      <w:r w:rsidRPr="002753BB">
        <w:rPr>
          <w:lang w:val="fr-CA"/>
        </w:rPr>
        <w:t xml:space="preserve"> et à ses membres des pratiques exemplaires en matière de communication par courriel.</w:t>
      </w:r>
    </w:p>
    <w:p w14:paraId="219DC4DC" w14:textId="07430B0E" w:rsidR="00CD4147" w:rsidRPr="003107D6" w:rsidRDefault="003107D6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>
        <w:rPr>
          <w:lang w:val="fr-CA"/>
        </w:rPr>
        <w:t xml:space="preserve">Dans le champ «  </w:t>
      </w:r>
      <w:r w:rsidR="00A77601" w:rsidRPr="002753BB">
        <w:rPr>
          <w:lang w:val="fr-CA"/>
        </w:rPr>
        <w:t xml:space="preserve">À </w:t>
      </w:r>
      <w:r>
        <w:rPr>
          <w:lang w:val="fr-CA"/>
        </w:rPr>
        <w:t>» du courriel, indiquez la (les) personne(s)</w:t>
      </w:r>
      <w:r w:rsidR="00A77601" w:rsidRPr="003107D6">
        <w:rPr>
          <w:lang w:val="fr-CA"/>
        </w:rPr>
        <w:t xml:space="preserve"> qui doi</w:t>
      </w:r>
      <w:r>
        <w:rPr>
          <w:lang w:val="fr-CA"/>
        </w:rPr>
        <w:t>vent</w:t>
      </w:r>
      <w:r w:rsidR="00A77601" w:rsidRPr="003107D6">
        <w:rPr>
          <w:lang w:val="fr-CA"/>
        </w:rPr>
        <w:t xml:space="preserve"> </w:t>
      </w:r>
      <w:r>
        <w:rPr>
          <w:lang w:val="fr-CA"/>
        </w:rPr>
        <w:t xml:space="preserve">en </w:t>
      </w:r>
      <w:r w:rsidR="00A77601" w:rsidRPr="003107D6">
        <w:rPr>
          <w:lang w:val="fr-CA"/>
        </w:rPr>
        <w:t xml:space="preserve">faire </w:t>
      </w:r>
      <w:r>
        <w:rPr>
          <w:lang w:val="fr-CA"/>
        </w:rPr>
        <w:t>le</w:t>
      </w:r>
      <w:r w:rsidR="00A77601" w:rsidRPr="003107D6">
        <w:rPr>
          <w:lang w:val="fr-CA"/>
        </w:rPr>
        <w:t xml:space="preserve"> suivi</w:t>
      </w:r>
      <w:r>
        <w:rPr>
          <w:lang w:val="fr-CA"/>
        </w:rPr>
        <w:t>.</w:t>
      </w:r>
    </w:p>
    <w:p w14:paraId="3C95FA26" w14:textId="2E60440C" w:rsidR="00CD4147" w:rsidRPr="00122C39" w:rsidRDefault="003107D6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>
        <w:rPr>
          <w:lang w:val="fr-CA"/>
        </w:rPr>
        <w:t xml:space="preserve">Dans le champ « </w:t>
      </w:r>
      <w:r w:rsidR="00A77601" w:rsidRPr="002753BB">
        <w:rPr>
          <w:lang w:val="fr-CA"/>
        </w:rPr>
        <w:t>C</w:t>
      </w:r>
      <w:r>
        <w:rPr>
          <w:lang w:val="fr-CA"/>
        </w:rPr>
        <w:t>c</w:t>
      </w:r>
      <w:r w:rsidR="00A77601" w:rsidRPr="002753BB">
        <w:rPr>
          <w:lang w:val="fr-CA"/>
        </w:rPr>
        <w:t xml:space="preserve"> </w:t>
      </w:r>
      <w:r>
        <w:rPr>
          <w:lang w:val="fr-CA"/>
        </w:rPr>
        <w:t>», indiquez la</w:t>
      </w:r>
      <w:r w:rsidR="009A223E">
        <w:rPr>
          <w:lang w:val="fr-CA"/>
        </w:rPr>
        <w:t xml:space="preserve"> </w:t>
      </w:r>
      <w:r>
        <w:rPr>
          <w:lang w:val="fr-CA"/>
        </w:rPr>
        <w:t>(</w:t>
      </w:r>
      <w:r w:rsidR="009A223E">
        <w:rPr>
          <w:lang w:val="fr-CA"/>
        </w:rPr>
        <w:t>le</w:t>
      </w:r>
      <w:r>
        <w:rPr>
          <w:lang w:val="fr-CA"/>
        </w:rPr>
        <w:t xml:space="preserve">s) personnes qui </w:t>
      </w:r>
      <w:r w:rsidR="009A223E">
        <w:rPr>
          <w:lang w:val="fr-CA"/>
        </w:rPr>
        <w:t>r</w:t>
      </w:r>
      <w:r>
        <w:rPr>
          <w:lang w:val="fr-CA"/>
        </w:rPr>
        <w:t xml:space="preserve">eçoivent le courriel </w:t>
      </w:r>
      <w:r w:rsidR="00A77601" w:rsidRPr="002753BB">
        <w:rPr>
          <w:lang w:val="fr-CA"/>
        </w:rPr>
        <w:t>à titre d’information seulement</w:t>
      </w:r>
    </w:p>
    <w:p w14:paraId="60AA4F8E" w14:textId="1F7A784D" w:rsidR="00CD4147" w:rsidRPr="00122C39" w:rsidRDefault="00122C39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>Ne participez pas aux guerres d’insultes par courriel.</w:t>
      </w:r>
      <w:r w:rsidR="00CD4147" w:rsidRPr="00122C39">
        <w:rPr>
          <w:lang w:val="fr-CA"/>
        </w:rPr>
        <w:t xml:space="preserve"> </w:t>
      </w:r>
      <w:r w:rsidRPr="002753BB">
        <w:rPr>
          <w:lang w:val="fr-CA"/>
        </w:rPr>
        <w:t>Les</w:t>
      </w:r>
      <w:r w:rsidR="00A77601" w:rsidRPr="002753BB">
        <w:rPr>
          <w:lang w:val="fr-CA"/>
        </w:rPr>
        <w:t xml:space="preserve"> guerres d</w:t>
      </w:r>
      <w:r w:rsidRPr="002753BB">
        <w:rPr>
          <w:lang w:val="fr-CA"/>
        </w:rPr>
        <w:t xml:space="preserve">’insultes sont </w:t>
      </w:r>
      <w:r w:rsidR="00A77601" w:rsidRPr="002753BB">
        <w:rPr>
          <w:lang w:val="fr-CA"/>
        </w:rPr>
        <w:t xml:space="preserve">des échanges de courriels enflammés qui </w:t>
      </w:r>
      <w:r w:rsidR="00D81202">
        <w:rPr>
          <w:lang w:val="fr-CA"/>
        </w:rPr>
        <w:t>font plus appel à</w:t>
      </w:r>
      <w:r w:rsidRPr="002753BB">
        <w:rPr>
          <w:lang w:val="fr-CA"/>
        </w:rPr>
        <w:t xml:space="preserve"> l</w:t>
      </w:r>
      <w:r w:rsidR="0047667B">
        <w:rPr>
          <w:lang w:val="fr-CA"/>
        </w:rPr>
        <w:t>’</w:t>
      </w:r>
      <w:r w:rsidRPr="002753BB">
        <w:rPr>
          <w:lang w:val="fr-CA"/>
        </w:rPr>
        <w:t>émotivité qu</w:t>
      </w:r>
      <w:r w:rsidR="00D81202">
        <w:rPr>
          <w:lang w:val="fr-CA"/>
        </w:rPr>
        <w:t xml:space="preserve">’à </w:t>
      </w:r>
      <w:r w:rsidRPr="002753BB">
        <w:rPr>
          <w:lang w:val="fr-CA"/>
        </w:rPr>
        <w:t>la raison et qui</w:t>
      </w:r>
      <w:r w:rsidR="00A77601" w:rsidRPr="002753BB">
        <w:rPr>
          <w:lang w:val="fr-CA"/>
        </w:rPr>
        <w:t xml:space="preserve"> n’ont pas leur place dans des communications professionnelles.</w:t>
      </w:r>
    </w:p>
    <w:p w14:paraId="00BAECEE" w14:textId="11027186" w:rsidR="00CD4147" w:rsidRPr="00122C39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Avant d’envoyer un courriel, relisez-le entièrement; </w:t>
      </w:r>
      <w:r w:rsidR="00122C39" w:rsidRPr="002753BB">
        <w:rPr>
          <w:lang w:val="fr-CA"/>
        </w:rPr>
        <w:t>le courriel ne convient pas à toutes les communications</w:t>
      </w:r>
      <w:r w:rsidRPr="002753BB">
        <w:rPr>
          <w:lang w:val="fr-CA"/>
        </w:rPr>
        <w:t>.</w:t>
      </w:r>
    </w:p>
    <w:p w14:paraId="1E2020FB" w14:textId="0D35EB13" w:rsidR="00CD4147" w:rsidRPr="00122C39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Si votre courriel risque d’être </w:t>
      </w:r>
      <w:r w:rsidR="00FC3F3C">
        <w:rPr>
          <w:lang w:val="fr-CA"/>
        </w:rPr>
        <w:t>litigieux</w:t>
      </w:r>
      <w:r w:rsidRPr="002753BB">
        <w:rPr>
          <w:lang w:val="fr-CA"/>
        </w:rPr>
        <w:t xml:space="preserve"> ou de susciter une controverse, suivez la règle des 24 </w:t>
      </w:r>
      <w:r w:rsidRPr="00A52AAD">
        <w:rPr>
          <w:lang w:val="fr-CA"/>
        </w:rPr>
        <w:t xml:space="preserve">heures </w:t>
      </w:r>
      <w:r w:rsidR="00122C39" w:rsidRPr="00A52AAD">
        <w:rPr>
          <w:lang w:val="fr-CA"/>
        </w:rPr>
        <w:t>d</w:t>
      </w:r>
      <w:r w:rsidR="007260E8" w:rsidRPr="00A52AAD">
        <w:rPr>
          <w:lang w:val="fr-CA"/>
        </w:rPr>
        <w:t>e réflexion</w:t>
      </w:r>
      <w:r w:rsidRPr="00A52AAD">
        <w:rPr>
          <w:lang w:val="fr-CA"/>
        </w:rPr>
        <w:t xml:space="preserve"> avant de </w:t>
      </w:r>
      <w:r w:rsidR="00B43D26" w:rsidRPr="00A52AAD">
        <w:rPr>
          <w:lang w:val="fr-CA"/>
        </w:rPr>
        <w:t>l’envoyer</w:t>
      </w:r>
      <w:r w:rsidRPr="00A52AAD">
        <w:rPr>
          <w:lang w:val="fr-CA"/>
        </w:rPr>
        <w:t>.</w:t>
      </w:r>
    </w:p>
    <w:p w14:paraId="519E11B4" w14:textId="5B1CF4B0" w:rsidR="00CD4147" w:rsidRPr="00160DDD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Soyez précis dans votre demande </w:t>
      </w:r>
      <w:r w:rsidR="00B43D26">
        <w:rPr>
          <w:lang w:val="fr-CA"/>
        </w:rPr>
        <w:t>de</w:t>
      </w:r>
      <w:r w:rsidRPr="002753BB">
        <w:rPr>
          <w:lang w:val="fr-CA"/>
        </w:rPr>
        <w:t xml:space="preserve"> rétroaction ou </w:t>
      </w:r>
      <w:r w:rsidR="00B43D26">
        <w:rPr>
          <w:lang w:val="fr-CA"/>
        </w:rPr>
        <w:t xml:space="preserve">de </w:t>
      </w:r>
      <w:r w:rsidRPr="002753BB">
        <w:rPr>
          <w:lang w:val="fr-CA"/>
        </w:rPr>
        <w:t>suivi</w:t>
      </w:r>
      <w:r w:rsidR="00B43D26">
        <w:rPr>
          <w:lang w:val="fr-CA"/>
        </w:rPr>
        <w:t>, le cas échéant</w:t>
      </w:r>
      <w:r w:rsidRPr="002753BB">
        <w:rPr>
          <w:lang w:val="fr-CA"/>
        </w:rPr>
        <w:t>.</w:t>
      </w:r>
    </w:p>
    <w:p w14:paraId="381A0789" w14:textId="00E3E7E5" w:rsidR="00CD4147" w:rsidRPr="00160DDD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>N’incluez que les personnes qui sont concernées ou qui doivent connaître l’information</w:t>
      </w:r>
      <w:r w:rsidR="00B43D26">
        <w:rPr>
          <w:lang w:val="fr-CA"/>
        </w:rPr>
        <w:t xml:space="preserve"> dans les destinataires</w:t>
      </w:r>
      <w:r w:rsidRPr="002753BB">
        <w:rPr>
          <w:lang w:val="fr-CA"/>
        </w:rPr>
        <w:t>.</w:t>
      </w:r>
    </w:p>
    <w:p w14:paraId="599FEC88" w14:textId="1E7260AA" w:rsidR="00CD4147" w:rsidRPr="00160DDD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Soyez </w:t>
      </w:r>
      <w:r w:rsidR="00B43D26">
        <w:rPr>
          <w:lang w:val="fr-CA"/>
        </w:rPr>
        <w:t>conci</w:t>
      </w:r>
      <w:r w:rsidRPr="002753BB">
        <w:rPr>
          <w:lang w:val="fr-CA"/>
        </w:rPr>
        <w:t>s.</w:t>
      </w:r>
      <w:r w:rsidR="00CD4147" w:rsidRPr="00160DDD">
        <w:rPr>
          <w:lang w:val="fr-CA"/>
        </w:rPr>
        <w:t xml:space="preserve"> </w:t>
      </w:r>
      <w:r w:rsidRPr="002753BB">
        <w:rPr>
          <w:lang w:val="fr-CA"/>
        </w:rPr>
        <w:t xml:space="preserve">Un long courriel ne </w:t>
      </w:r>
      <w:r w:rsidR="003652BD">
        <w:rPr>
          <w:lang w:val="fr-CA"/>
        </w:rPr>
        <w:t>veut pas dire</w:t>
      </w:r>
      <w:r w:rsidRPr="002753BB">
        <w:rPr>
          <w:lang w:val="fr-CA"/>
        </w:rPr>
        <w:t xml:space="preserve"> que vous avez abordé tous les points</w:t>
      </w:r>
      <w:r w:rsidR="003652BD">
        <w:rPr>
          <w:lang w:val="fr-CA"/>
        </w:rPr>
        <w:t xml:space="preserve">, mais plutôt que </w:t>
      </w:r>
      <w:r w:rsidRPr="002753BB">
        <w:rPr>
          <w:lang w:val="fr-CA"/>
        </w:rPr>
        <w:t xml:space="preserve">vous </w:t>
      </w:r>
      <w:r w:rsidR="003652BD">
        <w:rPr>
          <w:lang w:val="fr-CA"/>
        </w:rPr>
        <w:t>donnez</w:t>
      </w:r>
      <w:r w:rsidRPr="002753BB">
        <w:rPr>
          <w:lang w:val="fr-CA"/>
        </w:rPr>
        <w:t xml:space="preserve"> trop de choses à lire à votre </w:t>
      </w:r>
      <w:r w:rsidR="00EE4872">
        <w:rPr>
          <w:lang w:val="fr-CA"/>
        </w:rPr>
        <w:t>destinataire</w:t>
      </w:r>
      <w:r w:rsidRPr="002753BB">
        <w:rPr>
          <w:lang w:val="fr-CA"/>
        </w:rPr>
        <w:t>.</w:t>
      </w:r>
    </w:p>
    <w:p w14:paraId="67420E79" w14:textId="0F79DBFC" w:rsidR="00CD4147" w:rsidRPr="00160DDD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Avant d’envoyer un courriel, assurez-vous qu’il ne pourrait pas causer </w:t>
      </w:r>
      <w:r w:rsidR="00EE4872">
        <w:rPr>
          <w:lang w:val="fr-CA"/>
        </w:rPr>
        <w:t>un préjudice</w:t>
      </w:r>
      <w:r w:rsidRPr="002753BB">
        <w:rPr>
          <w:lang w:val="fr-CA"/>
        </w:rPr>
        <w:t xml:space="preserve"> ou de l’embarras à quiconque, y compris à l’Institut, s’il devait être rendu public.</w:t>
      </w:r>
    </w:p>
    <w:p w14:paraId="6C321577" w14:textId="36BE55F2" w:rsidR="00CD4147" w:rsidRPr="00160DDD" w:rsidRDefault="005A520D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>
        <w:rPr>
          <w:lang w:val="fr-CA"/>
        </w:rPr>
        <w:t>N’envoyez de courriel que lorsque c’est le meilleur moyen de communication</w:t>
      </w:r>
      <w:r w:rsidR="00A77601" w:rsidRPr="002753BB">
        <w:rPr>
          <w:lang w:val="fr-CA"/>
        </w:rPr>
        <w:t>. A</w:t>
      </w:r>
      <w:r>
        <w:rPr>
          <w:lang w:val="fr-CA"/>
        </w:rPr>
        <w:t>insi, a</w:t>
      </w:r>
      <w:r w:rsidR="00A77601" w:rsidRPr="002753BB">
        <w:rPr>
          <w:lang w:val="fr-CA"/>
        </w:rPr>
        <w:t xml:space="preserve">u lieu d’envoyer une explication compliquée par courriel, organisez une </w:t>
      </w:r>
      <w:r w:rsidR="00160DDD" w:rsidRPr="002753BB">
        <w:rPr>
          <w:lang w:val="fr-CA"/>
        </w:rPr>
        <w:t>court</w:t>
      </w:r>
      <w:r w:rsidR="00A77601" w:rsidRPr="002753BB">
        <w:rPr>
          <w:lang w:val="fr-CA"/>
        </w:rPr>
        <w:t>e réunion pour discuter de la question en personne.</w:t>
      </w:r>
      <w:r w:rsidR="00CD4147" w:rsidRPr="00160DDD">
        <w:rPr>
          <w:lang w:val="fr-CA"/>
        </w:rPr>
        <w:t xml:space="preserve"> </w:t>
      </w:r>
      <w:r w:rsidR="007C69B0">
        <w:rPr>
          <w:lang w:val="fr-CA"/>
        </w:rPr>
        <w:t>Un</w:t>
      </w:r>
      <w:r w:rsidR="00A77601" w:rsidRPr="002753BB">
        <w:rPr>
          <w:lang w:val="fr-CA"/>
        </w:rPr>
        <w:t xml:space="preserve"> courriel ne peut remplacer une conversation </w:t>
      </w:r>
      <w:r w:rsidR="00160DDD" w:rsidRPr="002753BB">
        <w:rPr>
          <w:lang w:val="fr-CA"/>
        </w:rPr>
        <w:t>quand les</w:t>
      </w:r>
      <w:r w:rsidR="00A77601" w:rsidRPr="002753BB">
        <w:rPr>
          <w:lang w:val="fr-CA"/>
        </w:rPr>
        <w:t xml:space="preserve"> discussions </w:t>
      </w:r>
      <w:r w:rsidR="00160DDD" w:rsidRPr="002753BB">
        <w:rPr>
          <w:lang w:val="fr-CA"/>
        </w:rPr>
        <w:t>sont très importantes</w:t>
      </w:r>
      <w:r w:rsidR="00A77601" w:rsidRPr="002753BB">
        <w:rPr>
          <w:lang w:val="fr-CA"/>
        </w:rPr>
        <w:t>, difficiles ou désagréables; les communications délicates se font mieux en personne.</w:t>
      </w:r>
    </w:p>
    <w:p w14:paraId="586E6A71" w14:textId="06A3CAB6" w:rsidR="00CD4147" w:rsidRPr="00160DDD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Dans certaines situations, </w:t>
      </w:r>
      <w:r w:rsidR="005A520D">
        <w:rPr>
          <w:lang w:val="fr-CA"/>
        </w:rPr>
        <w:t>il vaut mieux faire lire son</w:t>
      </w:r>
      <w:r w:rsidRPr="002753BB">
        <w:rPr>
          <w:lang w:val="fr-CA"/>
        </w:rPr>
        <w:t xml:space="preserve"> courriel par une autre paire d’yeux.</w:t>
      </w:r>
    </w:p>
    <w:p w14:paraId="1EF666C4" w14:textId="66AA8C41" w:rsidR="00CD4147" w:rsidRPr="00160DDD" w:rsidRDefault="00A77601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 w:rsidRPr="002753BB">
        <w:rPr>
          <w:lang w:val="fr-CA"/>
        </w:rPr>
        <w:t xml:space="preserve">Pour que votre interlocuteur sache que vous avez tout dit, ajoutez </w:t>
      </w:r>
      <w:r w:rsidR="005A520D">
        <w:rPr>
          <w:lang w:val="fr-CA"/>
        </w:rPr>
        <w:t>vos salutations</w:t>
      </w:r>
      <w:r w:rsidR="00160DDD" w:rsidRPr="002753BB">
        <w:rPr>
          <w:lang w:val="fr-CA"/>
        </w:rPr>
        <w:t xml:space="preserve"> et </w:t>
      </w:r>
      <w:r w:rsidRPr="002753BB">
        <w:rPr>
          <w:lang w:val="fr-CA"/>
        </w:rPr>
        <w:t>votre signature.</w:t>
      </w:r>
    </w:p>
    <w:p w14:paraId="6DD12E63" w14:textId="6E74CF0F" w:rsidR="003107D6" w:rsidRDefault="0096495C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>
        <w:rPr>
          <w:lang w:val="fr-CA"/>
        </w:rPr>
        <w:t>Respectez</w:t>
      </w:r>
      <w:r w:rsidR="00A77601" w:rsidRPr="002753BB">
        <w:rPr>
          <w:lang w:val="fr-CA"/>
        </w:rPr>
        <w:t xml:space="preserve"> l’étiquette </w:t>
      </w:r>
      <w:r w:rsidR="00160DDD" w:rsidRPr="002753BB">
        <w:rPr>
          <w:lang w:val="fr-CA"/>
        </w:rPr>
        <w:t xml:space="preserve">quand vous envoyez </w:t>
      </w:r>
      <w:r w:rsidR="008561DB" w:rsidRPr="002753BB">
        <w:rPr>
          <w:lang w:val="fr-CA"/>
        </w:rPr>
        <w:t>de</w:t>
      </w:r>
      <w:r w:rsidR="00A77601" w:rsidRPr="002753BB">
        <w:rPr>
          <w:lang w:val="fr-CA"/>
        </w:rPr>
        <w:t xml:space="preserve">s messages. Avant d’envoyer un courriel, assurez-vous que les destinataires ont </w:t>
      </w:r>
      <w:r>
        <w:rPr>
          <w:lang w:val="fr-CA"/>
        </w:rPr>
        <w:t xml:space="preserve">tous et toutes </w:t>
      </w:r>
      <w:r w:rsidR="00A77601" w:rsidRPr="002753BB">
        <w:rPr>
          <w:lang w:val="fr-CA"/>
        </w:rPr>
        <w:t>besoin de recevoir ce message.</w:t>
      </w:r>
      <w:r w:rsidR="00CD4147" w:rsidRPr="008561DB">
        <w:rPr>
          <w:lang w:val="fr-CA"/>
        </w:rPr>
        <w:t xml:space="preserve"> </w:t>
      </w:r>
      <w:r w:rsidR="00A77601" w:rsidRPr="002753BB">
        <w:rPr>
          <w:lang w:val="fr-CA"/>
        </w:rPr>
        <w:t xml:space="preserve">De plus, </w:t>
      </w:r>
      <w:r w:rsidR="008561DB" w:rsidRPr="002753BB">
        <w:rPr>
          <w:lang w:val="fr-CA"/>
        </w:rPr>
        <w:t>faites attention quand</w:t>
      </w:r>
      <w:r w:rsidR="00A77601" w:rsidRPr="002753BB">
        <w:rPr>
          <w:lang w:val="fr-CA"/>
        </w:rPr>
        <w:t xml:space="preserve"> vous envoyez des renseignements de nature délicate ou confidentielle.</w:t>
      </w:r>
      <w:r w:rsidR="00CD4147" w:rsidRPr="008561DB">
        <w:rPr>
          <w:lang w:val="fr-CA"/>
        </w:rPr>
        <w:t xml:space="preserve"> </w:t>
      </w:r>
      <w:r w:rsidR="00A77601" w:rsidRPr="002753BB">
        <w:rPr>
          <w:lang w:val="fr-CA"/>
        </w:rPr>
        <w:t>N’envoyez jamais de renseignements exclusifs à des personnes de l’extérieur ou à des destinataires non autorisé</w:t>
      </w:r>
      <w:r>
        <w:rPr>
          <w:lang w:val="fr-CA"/>
        </w:rPr>
        <w:t>(e)</w:t>
      </w:r>
      <w:r w:rsidR="00A77601" w:rsidRPr="002753BB">
        <w:rPr>
          <w:lang w:val="fr-CA"/>
        </w:rPr>
        <w:t>s.</w:t>
      </w:r>
      <w:r w:rsidR="00CD4147" w:rsidRPr="00103496">
        <w:rPr>
          <w:lang w:val="fr-CA"/>
        </w:rPr>
        <w:t xml:space="preserve"> </w:t>
      </w:r>
      <w:r w:rsidR="00A77601" w:rsidRPr="002753BB">
        <w:rPr>
          <w:lang w:val="fr-CA"/>
        </w:rPr>
        <w:t xml:space="preserve">Avant de cliquer sur « envoyer », assurez-vous que le contenu du message </w:t>
      </w:r>
      <w:r w:rsidR="00BC1B7B">
        <w:rPr>
          <w:lang w:val="fr-CA"/>
        </w:rPr>
        <w:t>convient</w:t>
      </w:r>
      <w:r w:rsidR="00A77601" w:rsidRPr="002753BB">
        <w:rPr>
          <w:lang w:val="fr-CA"/>
        </w:rPr>
        <w:t xml:space="preserve"> pour </w:t>
      </w:r>
      <w:r w:rsidR="00BC1B7B">
        <w:rPr>
          <w:lang w:val="fr-CA"/>
        </w:rPr>
        <w:t>chaque</w:t>
      </w:r>
      <w:r w:rsidR="00A77601" w:rsidRPr="002753BB">
        <w:rPr>
          <w:lang w:val="fr-CA"/>
        </w:rPr>
        <w:t xml:space="preserve"> destinataire.</w:t>
      </w:r>
    </w:p>
    <w:p w14:paraId="104CD42F" w14:textId="53756216" w:rsidR="00CD4147" w:rsidRPr="00403F1B" w:rsidRDefault="00CD4147" w:rsidP="003107D6">
      <w:pPr>
        <w:rPr>
          <w:lang w:val="fr-CA"/>
        </w:rPr>
      </w:pPr>
    </w:p>
    <w:p w14:paraId="5ABC5EA0" w14:textId="1D54E060" w:rsidR="00CD4147" w:rsidRPr="00DC6EC3" w:rsidRDefault="00B7388C" w:rsidP="00DB1F7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lang w:val="fr-CA"/>
        </w:rPr>
      </w:pPr>
      <w:r>
        <w:rPr>
          <w:lang w:val="fr-CA"/>
        </w:rPr>
        <w:lastRenderedPageBreak/>
        <w:t>Faites preuve de professionnalisme</w:t>
      </w:r>
      <w:r w:rsidR="00A77601" w:rsidRPr="002753BB">
        <w:rPr>
          <w:lang w:val="fr-CA"/>
        </w:rPr>
        <w:t xml:space="preserve">; </w:t>
      </w:r>
      <w:r>
        <w:rPr>
          <w:lang w:val="fr-CA"/>
        </w:rPr>
        <w:t xml:space="preserve">après tout, </w:t>
      </w:r>
      <w:r w:rsidR="00A77601" w:rsidRPr="002753BB">
        <w:rPr>
          <w:lang w:val="fr-CA"/>
        </w:rPr>
        <w:t xml:space="preserve">nous sommes l’Institut professionnel. Il est facile de donner l’impression que vous êtes </w:t>
      </w:r>
      <w:r>
        <w:rPr>
          <w:lang w:val="fr-CA"/>
        </w:rPr>
        <w:t xml:space="preserve">insouciant(e) ou </w:t>
      </w:r>
      <w:r w:rsidR="00A77601" w:rsidRPr="002753BB">
        <w:rPr>
          <w:lang w:val="fr-CA"/>
        </w:rPr>
        <w:t>peu professionnel</w:t>
      </w:r>
      <w:r>
        <w:rPr>
          <w:lang w:val="fr-CA"/>
        </w:rPr>
        <w:t>(le)</w:t>
      </w:r>
      <w:r w:rsidR="00A77601" w:rsidRPr="002753BB">
        <w:rPr>
          <w:lang w:val="fr-CA"/>
        </w:rPr>
        <w:t xml:space="preserve"> si vous </w:t>
      </w:r>
      <w:r>
        <w:rPr>
          <w:lang w:val="fr-CA"/>
        </w:rPr>
        <w:t>négligez</w:t>
      </w:r>
      <w:r w:rsidR="00A77601" w:rsidRPr="002753BB">
        <w:rPr>
          <w:lang w:val="fr-CA"/>
        </w:rPr>
        <w:t xml:space="preserve"> </w:t>
      </w:r>
      <w:r w:rsidR="00BC1B7B">
        <w:rPr>
          <w:lang w:val="fr-CA"/>
        </w:rPr>
        <w:t>l</w:t>
      </w:r>
      <w:r>
        <w:rPr>
          <w:lang w:val="fr-CA"/>
        </w:rPr>
        <w:t>e</w:t>
      </w:r>
      <w:r w:rsidR="00A77601" w:rsidRPr="002753BB">
        <w:rPr>
          <w:lang w:val="fr-CA"/>
        </w:rPr>
        <w:t xml:space="preserve">s principes </w:t>
      </w:r>
      <w:r w:rsidR="00DC6EC3" w:rsidRPr="002753BB">
        <w:rPr>
          <w:lang w:val="fr-CA"/>
        </w:rPr>
        <w:t xml:space="preserve">fondamentaux de </w:t>
      </w:r>
      <w:r w:rsidR="00BC1B7B">
        <w:rPr>
          <w:lang w:val="fr-CA"/>
        </w:rPr>
        <w:t xml:space="preserve">la </w:t>
      </w:r>
      <w:r w:rsidR="00DC6EC3" w:rsidRPr="002753BB">
        <w:rPr>
          <w:lang w:val="fr-CA"/>
        </w:rPr>
        <w:t>rédaction professionnelle</w:t>
      </w:r>
      <w:r w:rsidR="00A77601" w:rsidRPr="002753BB">
        <w:rPr>
          <w:lang w:val="fr-CA"/>
        </w:rPr>
        <w:t>.</w:t>
      </w:r>
      <w:r w:rsidR="00CD4147" w:rsidRPr="00DC6EC3">
        <w:rPr>
          <w:lang w:val="fr-CA"/>
        </w:rPr>
        <w:t xml:space="preserve"> </w:t>
      </w:r>
      <w:r w:rsidR="00A77601" w:rsidRPr="002753BB">
        <w:rPr>
          <w:lang w:val="fr-CA"/>
        </w:rPr>
        <w:t xml:space="preserve">Assurez-vous de </w:t>
      </w:r>
      <w:r w:rsidR="00DC6EC3" w:rsidRPr="002753BB">
        <w:rPr>
          <w:lang w:val="fr-CA"/>
        </w:rPr>
        <w:t xml:space="preserve">respecter la </w:t>
      </w:r>
      <w:r w:rsidR="00A77601" w:rsidRPr="002753BB">
        <w:rPr>
          <w:lang w:val="fr-CA"/>
        </w:rPr>
        <w:t>grammaire et d</w:t>
      </w:r>
      <w:r>
        <w:rPr>
          <w:lang w:val="fr-CA"/>
        </w:rPr>
        <w:t>e structurer correctement vos</w:t>
      </w:r>
      <w:r w:rsidR="00A77601" w:rsidRPr="002753BB">
        <w:rPr>
          <w:lang w:val="fr-CA"/>
        </w:rPr>
        <w:t xml:space="preserve"> phrases lorsque vous rédigez un message ou </w:t>
      </w:r>
      <w:r w:rsidR="00DC6EC3" w:rsidRPr="002753BB">
        <w:rPr>
          <w:lang w:val="fr-CA"/>
        </w:rPr>
        <w:t>q</w:t>
      </w:r>
      <w:r w:rsidR="00A77601" w:rsidRPr="002753BB">
        <w:rPr>
          <w:lang w:val="fr-CA"/>
        </w:rPr>
        <w:t>ue vous répondez à un message et utilisez un correcteur orthographique.</w:t>
      </w:r>
      <w:r w:rsidR="00CD4147" w:rsidRPr="00DC6EC3">
        <w:rPr>
          <w:lang w:val="fr-CA"/>
        </w:rPr>
        <w:t xml:space="preserve"> </w:t>
      </w:r>
      <w:r w:rsidR="00A77601" w:rsidRPr="002753BB">
        <w:rPr>
          <w:lang w:val="fr-CA"/>
        </w:rPr>
        <w:t xml:space="preserve">N’écrivez pas en lettres majuscules, car </w:t>
      </w:r>
      <w:r w:rsidR="00DC6EC3" w:rsidRPr="002753BB">
        <w:rPr>
          <w:lang w:val="fr-CA"/>
        </w:rPr>
        <w:t>vous donneriez l’impression de crier</w:t>
      </w:r>
      <w:r w:rsidR="00A77601" w:rsidRPr="002753BB">
        <w:rPr>
          <w:lang w:val="fr-CA"/>
        </w:rPr>
        <w:t>.</w:t>
      </w:r>
      <w:r w:rsidR="00CD4147" w:rsidRPr="00DC6EC3">
        <w:rPr>
          <w:lang w:val="fr-CA"/>
        </w:rPr>
        <w:t xml:space="preserve"> </w:t>
      </w:r>
      <w:r w:rsidR="00A77601" w:rsidRPr="002753BB">
        <w:rPr>
          <w:lang w:val="fr-CA"/>
        </w:rPr>
        <w:t xml:space="preserve">Faites des paragraphes pour </w:t>
      </w:r>
      <w:r w:rsidR="00DC6EC3" w:rsidRPr="002753BB">
        <w:rPr>
          <w:lang w:val="fr-CA"/>
        </w:rPr>
        <w:t>rendre votre message plus logique et facile à lire</w:t>
      </w:r>
      <w:r w:rsidR="00A77601" w:rsidRPr="002753BB">
        <w:rPr>
          <w:lang w:val="fr-CA"/>
        </w:rPr>
        <w:t>.</w:t>
      </w:r>
    </w:p>
    <w:sectPr w:rsidR="00CD4147" w:rsidRPr="00DC6EC3" w:rsidSect="005C3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576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0E158" w14:textId="77777777" w:rsidR="00A46043" w:rsidRDefault="00A46043" w:rsidP="001C6CC8">
      <w:pPr>
        <w:spacing w:after="0" w:line="240" w:lineRule="auto"/>
      </w:pPr>
      <w:r>
        <w:separator/>
      </w:r>
    </w:p>
  </w:endnote>
  <w:endnote w:type="continuationSeparator" w:id="0">
    <w:p w14:paraId="086CAC1E" w14:textId="77777777" w:rsidR="00A46043" w:rsidRDefault="00A46043" w:rsidP="001C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AD84" w14:textId="77777777" w:rsidR="0052344A" w:rsidRDefault="005234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F0F6E" w14:textId="4E7DD3DC" w:rsidR="009F76B7" w:rsidRPr="0017592B" w:rsidRDefault="00A77601">
    <w:pPr>
      <w:pStyle w:val="Footer"/>
      <w:rPr>
        <w:lang w:val="fr-CA"/>
      </w:rPr>
    </w:pPr>
    <w:r w:rsidRPr="002753BB">
      <w:rPr>
        <w:bCs/>
        <w:noProof/>
        <w:sz w:val="20"/>
        <w:lang w:val="fr-CA"/>
      </w:rPr>
      <w:t xml:space="preserve">Manuel </w:t>
    </w:r>
    <w:r w:rsidR="00814793" w:rsidRPr="002753BB">
      <w:rPr>
        <w:bCs/>
        <w:noProof/>
        <w:sz w:val="20"/>
        <w:lang w:val="fr-CA"/>
      </w:rPr>
      <w:t xml:space="preserve">des politiques du </w:t>
    </w:r>
    <w:r w:rsidRPr="002753BB">
      <w:rPr>
        <w:bCs/>
        <w:noProof/>
        <w:sz w:val="20"/>
        <w:lang w:val="fr-CA"/>
      </w:rPr>
      <w:t>Conseil</w:t>
    </w:r>
    <w:r w:rsidRPr="002753BB">
      <w:rPr>
        <w:b/>
        <w:bCs/>
        <w:noProof/>
        <w:sz w:val="20"/>
        <w:lang w:val="fr-CA"/>
      </w:rPr>
      <w:tab/>
    </w:r>
    <w:r w:rsidRPr="002753BB">
      <w:rPr>
        <w:b/>
        <w:bCs/>
        <w:noProof/>
        <w:sz w:val="20"/>
        <w:lang w:val="fr-CA"/>
      </w:rPr>
      <w:tab/>
      <w:t xml:space="preserve">Page </w:t>
    </w:r>
    <w:r w:rsidRPr="002753BB">
      <w:rPr>
        <w:sz w:val="20"/>
      </w:rPr>
      <w:fldChar w:fldCharType="begin"/>
    </w:r>
    <w:r w:rsidRPr="002753BB">
      <w:rPr>
        <w:sz w:val="20"/>
        <w:lang w:val="fr-CA"/>
      </w:rPr>
      <w:instrText xml:space="preserve"> PAGE   \* MERGEFORMAT </w:instrText>
    </w:r>
    <w:r w:rsidRPr="002753BB">
      <w:rPr>
        <w:sz w:val="20"/>
      </w:rPr>
      <w:fldChar w:fldCharType="separate"/>
    </w:r>
    <w:r w:rsidR="00C748D3" w:rsidRPr="00C748D3">
      <w:rPr>
        <w:b/>
        <w:bCs/>
        <w:noProof/>
        <w:sz w:val="20"/>
        <w:lang w:val="fr-CA"/>
      </w:rPr>
      <w:t>-</w:t>
    </w:r>
    <w:r w:rsidR="00C748D3">
      <w:rPr>
        <w:noProof/>
        <w:sz w:val="20"/>
        <w:lang w:val="fr-CA"/>
      </w:rPr>
      <w:t xml:space="preserve"> 1 -</w:t>
    </w:r>
    <w:r w:rsidRPr="002753BB">
      <w:rPr>
        <w:b/>
        <w:bCs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824E7" w14:textId="77777777" w:rsidR="009F76B7" w:rsidRPr="009F76B7" w:rsidRDefault="009F76B7">
    <w:pPr>
      <w:pStyle w:val="Footer"/>
      <w:rPr>
        <w:sz w:val="20"/>
      </w:rPr>
    </w:pPr>
    <w:r>
      <w:rPr>
        <w:sz w:val="20"/>
      </w:rPr>
      <w:t>Board Policy Manual</w:t>
    </w:r>
    <w:r>
      <w:rPr>
        <w:sz w:val="20"/>
      </w:rPr>
      <w:tab/>
    </w:r>
    <w:r>
      <w:rPr>
        <w:sz w:val="20"/>
      </w:rPr>
      <w:tab/>
    </w:r>
    <w:r w:rsidRPr="001E5B3B">
      <w:rPr>
        <w:color w:val="7F7F7F" w:themeColor="background1" w:themeShade="7F"/>
        <w:spacing w:val="60"/>
        <w:sz w:val="20"/>
      </w:rPr>
      <w:t>Page</w:t>
    </w:r>
    <w:r w:rsidRPr="001E5B3B">
      <w:rPr>
        <w:sz w:val="20"/>
      </w:rPr>
      <w:t xml:space="preserve"> | </w:t>
    </w:r>
    <w:r w:rsidRPr="001E5B3B">
      <w:rPr>
        <w:sz w:val="20"/>
      </w:rPr>
      <w:fldChar w:fldCharType="begin"/>
    </w:r>
    <w:r w:rsidRPr="001E5B3B">
      <w:rPr>
        <w:sz w:val="20"/>
      </w:rPr>
      <w:instrText xml:space="preserve"> PAGE   \* MERGEFORMAT </w:instrText>
    </w:r>
    <w:r w:rsidRPr="001E5B3B">
      <w:rPr>
        <w:sz w:val="20"/>
      </w:rPr>
      <w:fldChar w:fldCharType="separate"/>
    </w:r>
    <w:r w:rsidR="005C358F" w:rsidRPr="005C358F">
      <w:rPr>
        <w:b/>
        <w:bCs/>
        <w:noProof/>
        <w:sz w:val="20"/>
      </w:rPr>
      <w:t>-</w:t>
    </w:r>
    <w:r w:rsidR="005C358F">
      <w:rPr>
        <w:noProof/>
        <w:sz w:val="20"/>
      </w:rPr>
      <w:t xml:space="preserve"> 1 -</w:t>
    </w:r>
    <w:r w:rsidRPr="001E5B3B">
      <w:rPr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BB635" w14:textId="77777777" w:rsidR="00A46043" w:rsidRDefault="00A46043" w:rsidP="001C6CC8">
      <w:pPr>
        <w:spacing w:after="0" w:line="240" w:lineRule="auto"/>
      </w:pPr>
      <w:r>
        <w:separator/>
      </w:r>
    </w:p>
  </w:footnote>
  <w:footnote w:type="continuationSeparator" w:id="0">
    <w:p w14:paraId="370FBE86" w14:textId="77777777" w:rsidR="00A46043" w:rsidRDefault="00A46043" w:rsidP="001C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4168" w14:textId="77777777" w:rsidR="0052344A" w:rsidRDefault="005234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49FFB" w14:textId="658DADB1" w:rsidR="009F76B7" w:rsidRDefault="00E84433" w:rsidP="003872A6">
    <w:pPr>
      <w:pStyle w:val="Header"/>
    </w:pPr>
    <w:r>
      <w:rPr>
        <w:noProof/>
        <w:lang w:eastAsia="en-CA"/>
      </w:rPr>
      <w:drawing>
        <wp:inline distT="0" distB="0" distL="0" distR="0" wp14:anchorId="59980E06" wp14:editId="395EE1A2">
          <wp:extent cx="4152900" cy="73075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2879" cy="74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A47E2" w14:textId="77777777" w:rsidR="003872A6" w:rsidRDefault="00E92973">
    <w:pPr>
      <w:pStyle w:val="Header"/>
    </w:pPr>
    <w:r>
      <w:rPr>
        <w:noProof/>
        <w:color w:val="1155CC"/>
        <w:lang w:eastAsia="en-C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02DB72" wp14:editId="70A964DA">
              <wp:simplePos x="0" y="0"/>
              <wp:positionH relativeFrom="margin">
                <wp:posOffset>505460</wp:posOffset>
              </wp:positionH>
              <wp:positionV relativeFrom="margin">
                <wp:posOffset>2744470</wp:posOffset>
              </wp:positionV>
              <wp:extent cx="5237480" cy="3142615"/>
              <wp:effectExtent l="0" t="1144270" r="0" b="65659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EE121" w14:textId="77777777" w:rsidR="00E92973" w:rsidRDefault="00E92973" w:rsidP="00E929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2DB7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39.8pt;margin-top:216.1pt;width:412.4pt;height:247.45pt;rotation:-45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jB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NE&#10;sQ4lesSJXhpHTv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2D8EE121" w14:textId="77777777" w:rsidR="00E92973" w:rsidRDefault="00E92973" w:rsidP="00E9297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3F1EE" w14:textId="77777777" w:rsidR="0052344A" w:rsidRDefault="005234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227"/>
    <w:multiLevelType w:val="hybridMultilevel"/>
    <w:tmpl w:val="439AB9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61D"/>
    <w:multiLevelType w:val="hybridMultilevel"/>
    <w:tmpl w:val="A412ED36"/>
    <w:lvl w:ilvl="0" w:tplc="CAA0F354">
      <w:start w:val="11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50830"/>
    <w:multiLevelType w:val="multilevel"/>
    <w:tmpl w:val="8B18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4FC4"/>
    <w:multiLevelType w:val="hybridMultilevel"/>
    <w:tmpl w:val="A86A8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3F47"/>
    <w:multiLevelType w:val="hybridMultilevel"/>
    <w:tmpl w:val="8AA42E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396E"/>
    <w:multiLevelType w:val="hybridMultilevel"/>
    <w:tmpl w:val="3C76D530"/>
    <w:lvl w:ilvl="0" w:tplc="0BF034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C314E"/>
    <w:multiLevelType w:val="multilevel"/>
    <w:tmpl w:val="68BE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87F58"/>
    <w:multiLevelType w:val="hybridMultilevel"/>
    <w:tmpl w:val="3DEAB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A67"/>
    <w:multiLevelType w:val="hybridMultilevel"/>
    <w:tmpl w:val="B2587F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F51CD"/>
    <w:multiLevelType w:val="hybridMultilevel"/>
    <w:tmpl w:val="36B62F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33A64"/>
    <w:multiLevelType w:val="hybridMultilevel"/>
    <w:tmpl w:val="24F2E0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74C43"/>
    <w:multiLevelType w:val="hybridMultilevel"/>
    <w:tmpl w:val="FDDC64D6"/>
    <w:lvl w:ilvl="0" w:tplc="E4F62E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75AB"/>
    <w:multiLevelType w:val="multilevel"/>
    <w:tmpl w:val="BF7A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36904"/>
    <w:multiLevelType w:val="hybridMultilevel"/>
    <w:tmpl w:val="3D4605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227D4"/>
    <w:multiLevelType w:val="multilevel"/>
    <w:tmpl w:val="3B20C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B7E0C83"/>
    <w:multiLevelType w:val="hybridMultilevel"/>
    <w:tmpl w:val="65306A38"/>
    <w:lvl w:ilvl="0" w:tplc="3DA669B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A563C"/>
    <w:multiLevelType w:val="multilevel"/>
    <w:tmpl w:val="BF7A2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6"/>
  </w:num>
  <w:num w:numId="10">
    <w:abstractNumId w:val="14"/>
  </w:num>
  <w:num w:numId="11">
    <w:abstractNumId w:val="13"/>
  </w:num>
  <w:num w:numId="12">
    <w:abstractNumId w:val="15"/>
  </w:num>
  <w:num w:numId="13">
    <w:abstractNumId w:val="0"/>
  </w:num>
  <w:num w:numId="14">
    <w:abstractNumId w:val="5"/>
  </w:num>
  <w:num w:numId="15">
    <w:abstractNumId w:val="3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BB"/>
    <w:rsid w:val="000015DA"/>
    <w:rsid w:val="0000510B"/>
    <w:rsid w:val="000134F7"/>
    <w:rsid w:val="00014308"/>
    <w:rsid w:val="00014CD8"/>
    <w:rsid w:val="000167E6"/>
    <w:rsid w:val="00020110"/>
    <w:rsid w:val="00021133"/>
    <w:rsid w:val="00021CBB"/>
    <w:rsid w:val="00025F26"/>
    <w:rsid w:val="00030F75"/>
    <w:rsid w:val="0003726A"/>
    <w:rsid w:val="00037D84"/>
    <w:rsid w:val="000400E3"/>
    <w:rsid w:val="00044B49"/>
    <w:rsid w:val="0004578A"/>
    <w:rsid w:val="000508A8"/>
    <w:rsid w:val="00052E54"/>
    <w:rsid w:val="00053DAF"/>
    <w:rsid w:val="00054798"/>
    <w:rsid w:val="0005524F"/>
    <w:rsid w:val="00055CB0"/>
    <w:rsid w:val="00056C36"/>
    <w:rsid w:val="00060479"/>
    <w:rsid w:val="0006271F"/>
    <w:rsid w:val="000640A5"/>
    <w:rsid w:val="000641BC"/>
    <w:rsid w:val="00070897"/>
    <w:rsid w:val="00070955"/>
    <w:rsid w:val="0007105B"/>
    <w:rsid w:val="00072C47"/>
    <w:rsid w:val="00073B97"/>
    <w:rsid w:val="00074AF4"/>
    <w:rsid w:val="0007670F"/>
    <w:rsid w:val="000767FA"/>
    <w:rsid w:val="00080EC9"/>
    <w:rsid w:val="00085A1A"/>
    <w:rsid w:val="00086944"/>
    <w:rsid w:val="00087A4B"/>
    <w:rsid w:val="00090213"/>
    <w:rsid w:val="00095826"/>
    <w:rsid w:val="000A0CC8"/>
    <w:rsid w:val="000A4562"/>
    <w:rsid w:val="000A541A"/>
    <w:rsid w:val="000B1B4A"/>
    <w:rsid w:val="000C0F9F"/>
    <w:rsid w:val="000C7A5E"/>
    <w:rsid w:val="000D0361"/>
    <w:rsid w:val="000E05BD"/>
    <w:rsid w:val="000E173E"/>
    <w:rsid w:val="000E1744"/>
    <w:rsid w:val="000E3DA2"/>
    <w:rsid w:val="000E592F"/>
    <w:rsid w:val="00100C59"/>
    <w:rsid w:val="00103496"/>
    <w:rsid w:val="00103E7A"/>
    <w:rsid w:val="0010419D"/>
    <w:rsid w:val="0010558A"/>
    <w:rsid w:val="00107B1C"/>
    <w:rsid w:val="0011171C"/>
    <w:rsid w:val="00113454"/>
    <w:rsid w:val="00117DEA"/>
    <w:rsid w:val="001205FD"/>
    <w:rsid w:val="00121D36"/>
    <w:rsid w:val="00122C39"/>
    <w:rsid w:val="0012320C"/>
    <w:rsid w:val="00123E7F"/>
    <w:rsid w:val="001270EF"/>
    <w:rsid w:val="0013336A"/>
    <w:rsid w:val="001379F8"/>
    <w:rsid w:val="00141EE7"/>
    <w:rsid w:val="00143521"/>
    <w:rsid w:val="00147F5E"/>
    <w:rsid w:val="00154AB5"/>
    <w:rsid w:val="00160DDD"/>
    <w:rsid w:val="00167C85"/>
    <w:rsid w:val="00172766"/>
    <w:rsid w:val="0017388B"/>
    <w:rsid w:val="00174618"/>
    <w:rsid w:val="0017592B"/>
    <w:rsid w:val="00180BE9"/>
    <w:rsid w:val="00184920"/>
    <w:rsid w:val="00187E8F"/>
    <w:rsid w:val="00190E1A"/>
    <w:rsid w:val="00193593"/>
    <w:rsid w:val="00193B5F"/>
    <w:rsid w:val="0019651B"/>
    <w:rsid w:val="001A1CAF"/>
    <w:rsid w:val="001B25E1"/>
    <w:rsid w:val="001B7EEF"/>
    <w:rsid w:val="001C6CC8"/>
    <w:rsid w:val="001C7FAF"/>
    <w:rsid w:val="001D1910"/>
    <w:rsid w:val="001D4A2A"/>
    <w:rsid w:val="001E0A38"/>
    <w:rsid w:val="001E5B3B"/>
    <w:rsid w:val="001E7490"/>
    <w:rsid w:val="001E74F4"/>
    <w:rsid w:val="001F28AE"/>
    <w:rsid w:val="001F3294"/>
    <w:rsid w:val="001F5FD4"/>
    <w:rsid w:val="001F6558"/>
    <w:rsid w:val="001F7720"/>
    <w:rsid w:val="001F7C7D"/>
    <w:rsid w:val="0020103D"/>
    <w:rsid w:val="00201E58"/>
    <w:rsid w:val="002027EF"/>
    <w:rsid w:val="00205D29"/>
    <w:rsid w:val="002060AF"/>
    <w:rsid w:val="00206F67"/>
    <w:rsid w:val="00211645"/>
    <w:rsid w:val="0021327F"/>
    <w:rsid w:val="00213F82"/>
    <w:rsid w:val="00221F85"/>
    <w:rsid w:val="00222083"/>
    <w:rsid w:val="00223552"/>
    <w:rsid w:val="002235B2"/>
    <w:rsid w:val="00224929"/>
    <w:rsid w:val="0023019C"/>
    <w:rsid w:val="00241C3B"/>
    <w:rsid w:val="00241F41"/>
    <w:rsid w:val="0024406D"/>
    <w:rsid w:val="00245712"/>
    <w:rsid w:val="00251069"/>
    <w:rsid w:val="00252781"/>
    <w:rsid w:val="0025281B"/>
    <w:rsid w:val="00252B05"/>
    <w:rsid w:val="0025413B"/>
    <w:rsid w:val="00254A40"/>
    <w:rsid w:val="00274689"/>
    <w:rsid w:val="002753BB"/>
    <w:rsid w:val="002756EC"/>
    <w:rsid w:val="002828C9"/>
    <w:rsid w:val="002910F7"/>
    <w:rsid w:val="00294B24"/>
    <w:rsid w:val="002970E8"/>
    <w:rsid w:val="002A21D6"/>
    <w:rsid w:val="002A3782"/>
    <w:rsid w:val="002A4BEB"/>
    <w:rsid w:val="002B26D4"/>
    <w:rsid w:val="002B3910"/>
    <w:rsid w:val="002B5AE6"/>
    <w:rsid w:val="002C2B8D"/>
    <w:rsid w:val="002D1F18"/>
    <w:rsid w:val="002D348C"/>
    <w:rsid w:val="002D49D5"/>
    <w:rsid w:val="002D4BC0"/>
    <w:rsid w:val="002D5B04"/>
    <w:rsid w:val="002D637D"/>
    <w:rsid w:val="002D7BE5"/>
    <w:rsid w:val="002E027A"/>
    <w:rsid w:val="002E0C33"/>
    <w:rsid w:val="002E7262"/>
    <w:rsid w:val="002F0A89"/>
    <w:rsid w:val="002F33A4"/>
    <w:rsid w:val="002F7D54"/>
    <w:rsid w:val="003002A7"/>
    <w:rsid w:val="0030657E"/>
    <w:rsid w:val="0030729C"/>
    <w:rsid w:val="003107D6"/>
    <w:rsid w:val="00316AA1"/>
    <w:rsid w:val="003174E1"/>
    <w:rsid w:val="00321578"/>
    <w:rsid w:val="0032640F"/>
    <w:rsid w:val="00326935"/>
    <w:rsid w:val="00332D12"/>
    <w:rsid w:val="00337564"/>
    <w:rsid w:val="003442A6"/>
    <w:rsid w:val="0035753A"/>
    <w:rsid w:val="0035792C"/>
    <w:rsid w:val="003608EE"/>
    <w:rsid w:val="00360D2B"/>
    <w:rsid w:val="00363487"/>
    <w:rsid w:val="0036474E"/>
    <w:rsid w:val="00364C82"/>
    <w:rsid w:val="003652BD"/>
    <w:rsid w:val="00367AE3"/>
    <w:rsid w:val="00372D11"/>
    <w:rsid w:val="0037724E"/>
    <w:rsid w:val="00381A08"/>
    <w:rsid w:val="0038363C"/>
    <w:rsid w:val="00386A17"/>
    <w:rsid w:val="003872A6"/>
    <w:rsid w:val="003906A3"/>
    <w:rsid w:val="00394919"/>
    <w:rsid w:val="0039536E"/>
    <w:rsid w:val="00396AAD"/>
    <w:rsid w:val="003972DC"/>
    <w:rsid w:val="003973FF"/>
    <w:rsid w:val="00397737"/>
    <w:rsid w:val="003A09C5"/>
    <w:rsid w:val="003A4903"/>
    <w:rsid w:val="003A62E3"/>
    <w:rsid w:val="003A7F22"/>
    <w:rsid w:val="003B225C"/>
    <w:rsid w:val="003B5A97"/>
    <w:rsid w:val="003B5E9A"/>
    <w:rsid w:val="003C013B"/>
    <w:rsid w:val="003C1B55"/>
    <w:rsid w:val="003C2307"/>
    <w:rsid w:val="003C3C1D"/>
    <w:rsid w:val="003C4500"/>
    <w:rsid w:val="003C5CCA"/>
    <w:rsid w:val="003C6948"/>
    <w:rsid w:val="003D57BD"/>
    <w:rsid w:val="003D6690"/>
    <w:rsid w:val="003E1CDB"/>
    <w:rsid w:val="003E5754"/>
    <w:rsid w:val="003E5FA7"/>
    <w:rsid w:val="003E61A0"/>
    <w:rsid w:val="003E77FC"/>
    <w:rsid w:val="003F0459"/>
    <w:rsid w:val="003F36D1"/>
    <w:rsid w:val="003F3D4B"/>
    <w:rsid w:val="003F6411"/>
    <w:rsid w:val="00403F1B"/>
    <w:rsid w:val="00411CC8"/>
    <w:rsid w:val="0041481B"/>
    <w:rsid w:val="0042039E"/>
    <w:rsid w:val="00422C97"/>
    <w:rsid w:val="00424A17"/>
    <w:rsid w:val="00426D6C"/>
    <w:rsid w:val="00427F8B"/>
    <w:rsid w:val="00430112"/>
    <w:rsid w:val="00431E19"/>
    <w:rsid w:val="00442E34"/>
    <w:rsid w:val="0044329F"/>
    <w:rsid w:val="00445505"/>
    <w:rsid w:val="00450499"/>
    <w:rsid w:val="0045453D"/>
    <w:rsid w:val="0045710C"/>
    <w:rsid w:val="004618B7"/>
    <w:rsid w:val="00461F3D"/>
    <w:rsid w:val="00473934"/>
    <w:rsid w:val="00475CCC"/>
    <w:rsid w:val="0047667B"/>
    <w:rsid w:val="00482CC9"/>
    <w:rsid w:val="004837F8"/>
    <w:rsid w:val="00491519"/>
    <w:rsid w:val="004964AA"/>
    <w:rsid w:val="00496F4C"/>
    <w:rsid w:val="004A09E9"/>
    <w:rsid w:val="004A14AC"/>
    <w:rsid w:val="004A4B46"/>
    <w:rsid w:val="004A56CA"/>
    <w:rsid w:val="004A59A9"/>
    <w:rsid w:val="004B076D"/>
    <w:rsid w:val="004B2DBA"/>
    <w:rsid w:val="004B57CF"/>
    <w:rsid w:val="004C2E93"/>
    <w:rsid w:val="004C3E40"/>
    <w:rsid w:val="004C4038"/>
    <w:rsid w:val="004C629C"/>
    <w:rsid w:val="004D1A9E"/>
    <w:rsid w:val="004D3172"/>
    <w:rsid w:val="004D3B83"/>
    <w:rsid w:val="004E6D63"/>
    <w:rsid w:val="0050150A"/>
    <w:rsid w:val="00501F4A"/>
    <w:rsid w:val="00504BDF"/>
    <w:rsid w:val="00506E33"/>
    <w:rsid w:val="005075F1"/>
    <w:rsid w:val="00507D29"/>
    <w:rsid w:val="0051197F"/>
    <w:rsid w:val="00522042"/>
    <w:rsid w:val="0052344A"/>
    <w:rsid w:val="00527E0B"/>
    <w:rsid w:val="005300B2"/>
    <w:rsid w:val="00531364"/>
    <w:rsid w:val="00531628"/>
    <w:rsid w:val="00531AFE"/>
    <w:rsid w:val="005372A7"/>
    <w:rsid w:val="0053799E"/>
    <w:rsid w:val="00537FD0"/>
    <w:rsid w:val="005410CF"/>
    <w:rsid w:val="00542D8F"/>
    <w:rsid w:val="00545BAC"/>
    <w:rsid w:val="005461CE"/>
    <w:rsid w:val="00546AAC"/>
    <w:rsid w:val="005564E9"/>
    <w:rsid w:val="00561B03"/>
    <w:rsid w:val="0057041A"/>
    <w:rsid w:val="00571249"/>
    <w:rsid w:val="005744ED"/>
    <w:rsid w:val="00575451"/>
    <w:rsid w:val="00577853"/>
    <w:rsid w:val="005818A4"/>
    <w:rsid w:val="00582C4C"/>
    <w:rsid w:val="00584FDA"/>
    <w:rsid w:val="0059059F"/>
    <w:rsid w:val="00590EA0"/>
    <w:rsid w:val="005A42AA"/>
    <w:rsid w:val="005A520D"/>
    <w:rsid w:val="005A6284"/>
    <w:rsid w:val="005A63C9"/>
    <w:rsid w:val="005B038A"/>
    <w:rsid w:val="005B0E45"/>
    <w:rsid w:val="005B1065"/>
    <w:rsid w:val="005B24E0"/>
    <w:rsid w:val="005B5AB7"/>
    <w:rsid w:val="005B6384"/>
    <w:rsid w:val="005C128F"/>
    <w:rsid w:val="005C358F"/>
    <w:rsid w:val="005C4A22"/>
    <w:rsid w:val="005C6012"/>
    <w:rsid w:val="005C702E"/>
    <w:rsid w:val="005C7AE4"/>
    <w:rsid w:val="005E175A"/>
    <w:rsid w:val="005F0D9C"/>
    <w:rsid w:val="005F6241"/>
    <w:rsid w:val="0060236F"/>
    <w:rsid w:val="00611CC4"/>
    <w:rsid w:val="006129AE"/>
    <w:rsid w:val="00615A13"/>
    <w:rsid w:val="00616181"/>
    <w:rsid w:val="00617611"/>
    <w:rsid w:val="0061786C"/>
    <w:rsid w:val="006179B5"/>
    <w:rsid w:val="00617DE4"/>
    <w:rsid w:val="006207CB"/>
    <w:rsid w:val="006250D6"/>
    <w:rsid w:val="00625561"/>
    <w:rsid w:val="006255FD"/>
    <w:rsid w:val="00630258"/>
    <w:rsid w:val="0063327A"/>
    <w:rsid w:val="00636715"/>
    <w:rsid w:val="0064435B"/>
    <w:rsid w:val="00645D1E"/>
    <w:rsid w:val="00646060"/>
    <w:rsid w:val="006556A7"/>
    <w:rsid w:val="00656DDD"/>
    <w:rsid w:val="0065740B"/>
    <w:rsid w:val="00660428"/>
    <w:rsid w:val="00665877"/>
    <w:rsid w:val="006705F5"/>
    <w:rsid w:val="00673CCF"/>
    <w:rsid w:val="006744A0"/>
    <w:rsid w:val="006777C9"/>
    <w:rsid w:val="00680C0A"/>
    <w:rsid w:val="00682CCE"/>
    <w:rsid w:val="00685B00"/>
    <w:rsid w:val="00692A3D"/>
    <w:rsid w:val="006A1964"/>
    <w:rsid w:val="006C0063"/>
    <w:rsid w:val="006C2664"/>
    <w:rsid w:val="006D34F2"/>
    <w:rsid w:val="006D7977"/>
    <w:rsid w:val="006E1554"/>
    <w:rsid w:val="006E163C"/>
    <w:rsid w:val="006E255F"/>
    <w:rsid w:val="006E2919"/>
    <w:rsid w:val="006E3760"/>
    <w:rsid w:val="006E645F"/>
    <w:rsid w:val="006E6E2B"/>
    <w:rsid w:val="006F150F"/>
    <w:rsid w:val="006F2D72"/>
    <w:rsid w:val="006F3F86"/>
    <w:rsid w:val="006F4616"/>
    <w:rsid w:val="006F6199"/>
    <w:rsid w:val="006F74D6"/>
    <w:rsid w:val="00701FF6"/>
    <w:rsid w:val="00702586"/>
    <w:rsid w:val="00711830"/>
    <w:rsid w:val="00714891"/>
    <w:rsid w:val="00717C29"/>
    <w:rsid w:val="00722A6D"/>
    <w:rsid w:val="007235C5"/>
    <w:rsid w:val="00724FA2"/>
    <w:rsid w:val="00725B58"/>
    <w:rsid w:val="007260E8"/>
    <w:rsid w:val="0073089C"/>
    <w:rsid w:val="0073112C"/>
    <w:rsid w:val="00743C1F"/>
    <w:rsid w:val="007509BF"/>
    <w:rsid w:val="007619DB"/>
    <w:rsid w:val="007651F3"/>
    <w:rsid w:val="00765393"/>
    <w:rsid w:val="00767080"/>
    <w:rsid w:val="007673F4"/>
    <w:rsid w:val="00771AB3"/>
    <w:rsid w:val="00775107"/>
    <w:rsid w:val="00775421"/>
    <w:rsid w:val="007754C0"/>
    <w:rsid w:val="00776B2F"/>
    <w:rsid w:val="00776EBF"/>
    <w:rsid w:val="007779DC"/>
    <w:rsid w:val="00780840"/>
    <w:rsid w:val="00781FEF"/>
    <w:rsid w:val="00787E77"/>
    <w:rsid w:val="00791060"/>
    <w:rsid w:val="0079385A"/>
    <w:rsid w:val="0079393C"/>
    <w:rsid w:val="007A0164"/>
    <w:rsid w:val="007A1BBF"/>
    <w:rsid w:val="007A1E9A"/>
    <w:rsid w:val="007A5218"/>
    <w:rsid w:val="007A6A13"/>
    <w:rsid w:val="007A7A7E"/>
    <w:rsid w:val="007B1529"/>
    <w:rsid w:val="007B2171"/>
    <w:rsid w:val="007B6171"/>
    <w:rsid w:val="007B651C"/>
    <w:rsid w:val="007C2B64"/>
    <w:rsid w:val="007C3781"/>
    <w:rsid w:val="007C654F"/>
    <w:rsid w:val="007C69B0"/>
    <w:rsid w:val="007C710D"/>
    <w:rsid w:val="007D08FE"/>
    <w:rsid w:val="007D0B27"/>
    <w:rsid w:val="007D0DA0"/>
    <w:rsid w:val="007D2D7F"/>
    <w:rsid w:val="007D4B77"/>
    <w:rsid w:val="007D77A9"/>
    <w:rsid w:val="007E4851"/>
    <w:rsid w:val="007E6E58"/>
    <w:rsid w:val="007E7667"/>
    <w:rsid w:val="007F2095"/>
    <w:rsid w:val="007F2773"/>
    <w:rsid w:val="007F29AB"/>
    <w:rsid w:val="00801332"/>
    <w:rsid w:val="00802032"/>
    <w:rsid w:val="00802904"/>
    <w:rsid w:val="008054A6"/>
    <w:rsid w:val="00805A8E"/>
    <w:rsid w:val="0080700E"/>
    <w:rsid w:val="00807F80"/>
    <w:rsid w:val="00814793"/>
    <w:rsid w:val="00833B46"/>
    <w:rsid w:val="00834FC5"/>
    <w:rsid w:val="0083605F"/>
    <w:rsid w:val="00837EB1"/>
    <w:rsid w:val="008407C7"/>
    <w:rsid w:val="00844F1E"/>
    <w:rsid w:val="00846821"/>
    <w:rsid w:val="0085238E"/>
    <w:rsid w:val="008561DB"/>
    <w:rsid w:val="0085774A"/>
    <w:rsid w:val="00863958"/>
    <w:rsid w:val="00864E41"/>
    <w:rsid w:val="00864F6B"/>
    <w:rsid w:val="008666BE"/>
    <w:rsid w:val="00866BFD"/>
    <w:rsid w:val="008722B0"/>
    <w:rsid w:val="00873C9F"/>
    <w:rsid w:val="00876EF9"/>
    <w:rsid w:val="008771BE"/>
    <w:rsid w:val="00884D16"/>
    <w:rsid w:val="0089412F"/>
    <w:rsid w:val="00895015"/>
    <w:rsid w:val="008A0D65"/>
    <w:rsid w:val="008A1C36"/>
    <w:rsid w:val="008B37A0"/>
    <w:rsid w:val="008C2E60"/>
    <w:rsid w:val="008C4680"/>
    <w:rsid w:val="008C5ABE"/>
    <w:rsid w:val="008C5AEE"/>
    <w:rsid w:val="008D6773"/>
    <w:rsid w:val="008E3179"/>
    <w:rsid w:val="008E6298"/>
    <w:rsid w:val="008E7635"/>
    <w:rsid w:val="009017C9"/>
    <w:rsid w:val="00901ADA"/>
    <w:rsid w:val="00902D65"/>
    <w:rsid w:val="00902DE5"/>
    <w:rsid w:val="00903F30"/>
    <w:rsid w:val="0091196B"/>
    <w:rsid w:val="00914528"/>
    <w:rsid w:val="0091489D"/>
    <w:rsid w:val="0092032B"/>
    <w:rsid w:val="009213DB"/>
    <w:rsid w:val="00922AAD"/>
    <w:rsid w:val="00933339"/>
    <w:rsid w:val="00933E81"/>
    <w:rsid w:val="00937D18"/>
    <w:rsid w:val="00943CAD"/>
    <w:rsid w:val="00955ECE"/>
    <w:rsid w:val="00956FB5"/>
    <w:rsid w:val="009601E9"/>
    <w:rsid w:val="0096052B"/>
    <w:rsid w:val="0096495C"/>
    <w:rsid w:val="00964F5E"/>
    <w:rsid w:val="009673C6"/>
    <w:rsid w:val="00972026"/>
    <w:rsid w:val="009735AC"/>
    <w:rsid w:val="00974FA8"/>
    <w:rsid w:val="009753CF"/>
    <w:rsid w:val="0098498E"/>
    <w:rsid w:val="00985C02"/>
    <w:rsid w:val="009A223E"/>
    <w:rsid w:val="009B00B8"/>
    <w:rsid w:val="009B2421"/>
    <w:rsid w:val="009B384A"/>
    <w:rsid w:val="009C2C88"/>
    <w:rsid w:val="009C4757"/>
    <w:rsid w:val="009C6AB7"/>
    <w:rsid w:val="009D033E"/>
    <w:rsid w:val="009D0DA5"/>
    <w:rsid w:val="009D1911"/>
    <w:rsid w:val="009D24EA"/>
    <w:rsid w:val="009D3F5A"/>
    <w:rsid w:val="009D77A3"/>
    <w:rsid w:val="009E0353"/>
    <w:rsid w:val="009E1117"/>
    <w:rsid w:val="009E19BD"/>
    <w:rsid w:val="009E1F46"/>
    <w:rsid w:val="009E2BF1"/>
    <w:rsid w:val="009E2CFA"/>
    <w:rsid w:val="009E7A67"/>
    <w:rsid w:val="009F1971"/>
    <w:rsid w:val="009F6416"/>
    <w:rsid w:val="009F76B7"/>
    <w:rsid w:val="009F7C22"/>
    <w:rsid w:val="00A10D8D"/>
    <w:rsid w:val="00A11576"/>
    <w:rsid w:val="00A11792"/>
    <w:rsid w:val="00A12ABF"/>
    <w:rsid w:val="00A1387C"/>
    <w:rsid w:val="00A150B1"/>
    <w:rsid w:val="00A22248"/>
    <w:rsid w:val="00A2360A"/>
    <w:rsid w:val="00A24893"/>
    <w:rsid w:val="00A2618C"/>
    <w:rsid w:val="00A32F20"/>
    <w:rsid w:val="00A33857"/>
    <w:rsid w:val="00A368D1"/>
    <w:rsid w:val="00A421B8"/>
    <w:rsid w:val="00A44A9E"/>
    <w:rsid w:val="00A46043"/>
    <w:rsid w:val="00A52AAD"/>
    <w:rsid w:val="00A539B0"/>
    <w:rsid w:val="00A545A5"/>
    <w:rsid w:val="00A55F1A"/>
    <w:rsid w:val="00A57D1C"/>
    <w:rsid w:val="00A60998"/>
    <w:rsid w:val="00A6159F"/>
    <w:rsid w:val="00A619A6"/>
    <w:rsid w:val="00A626BB"/>
    <w:rsid w:val="00A63CA2"/>
    <w:rsid w:val="00A6424E"/>
    <w:rsid w:val="00A65615"/>
    <w:rsid w:val="00A65C24"/>
    <w:rsid w:val="00A66FE2"/>
    <w:rsid w:val="00A6745C"/>
    <w:rsid w:val="00A76F2B"/>
    <w:rsid w:val="00A77601"/>
    <w:rsid w:val="00A84191"/>
    <w:rsid w:val="00A85882"/>
    <w:rsid w:val="00A87E4C"/>
    <w:rsid w:val="00A90FB1"/>
    <w:rsid w:val="00A97DBB"/>
    <w:rsid w:val="00AA19A9"/>
    <w:rsid w:val="00AA3B0C"/>
    <w:rsid w:val="00AA452F"/>
    <w:rsid w:val="00AA486E"/>
    <w:rsid w:val="00AA6E46"/>
    <w:rsid w:val="00AA71F1"/>
    <w:rsid w:val="00AB366D"/>
    <w:rsid w:val="00AB6A5C"/>
    <w:rsid w:val="00AB7D2A"/>
    <w:rsid w:val="00AD0E44"/>
    <w:rsid w:val="00AD3F7E"/>
    <w:rsid w:val="00AE2001"/>
    <w:rsid w:val="00AF0D5F"/>
    <w:rsid w:val="00AF1701"/>
    <w:rsid w:val="00AF3242"/>
    <w:rsid w:val="00AF3E9D"/>
    <w:rsid w:val="00AF44DE"/>
    <w:rsid w:val="00AF455F"/>
    <w:rsid w:val="00AF5925"/>
    <w:rsid w:val="00AF5E04"/>
    <w:rsid w:val="00AF7E29"/>
    <w:rsid w:val="00B00249"/>
    <w:rsid w:val="00B060DA"/>
    <w:rsid w:val="00B12DF5"/>
    <w:rsid w:val="00B130E6"/>
    <w:rsid w:val="00B16C33"/>
    <w:rsid w:val="00B265C2"/>
    <w:rsid w:val="00B30212"/>
    <w:rsid w:val="00B42174"/>
    <w:rsid w:val="00B43D26"/>
    <w:rsid w:val="00B52966"/>
    <w:rsid w:val="00B52A9E"/>
    <w:rsid w:val="00B65761"/>
    <w:rsid w:val="00B66121"/>
    <w:rsid w:val="00B70B03"/>
    <w:rsid w:val="00B728B7"/>
    <w:rsid w:val="00B72F18"/>
    <w:rsid w:val="00B7388C"/>
    <w:rsid w:val="00B747D5"/>
    <w:rsid w:val="00B74F3B"/>
    <w:rsid w:val="00B77C7B"/>
    <w:rsid w:val="00B8045A"/>
    <w:rsid w:val="00B82FB7"/>
    <w:rsid w:val="00B830B7"/>
    <w:rsid w:val="00B83530"/>
    <w:rsid w:val="00B85F44"/>
    <w:rsid w:val="00B85F7D"/>
    <w:rsid w:val="00B876BC"/>
    <w:rsid w:val="00B9003D"/>
    <w:rsid w:val="00B92FA1"/>
    <w:rsid w:val="00B948A0"/>
    <w:rsid w:val="00BA3A4D"/>
    <w:rsid w:val="00BA486B"/>
    <w:rsid w:val="00BA5C26"/>
    <w:rsid w:val="00BA7080"/>
    <w:rsid w:val="00BB29ED"/>
    <w:rsid w:val="00BB7477"/>
    <w:rsid w:val="00BB7C07"/>
    <w:rsid w:val="00BC13ED"/>
    <w:rsid w:val="00BC1B7B"/>
    <w:rsid w:val="00BC54F5"/>
    <w:rsid w:val="00BC7051"/>
    <w:rsid w:val="00BD5CE9"/>
    <w:rsid w:val="00BE2F5B"/>
    <w:rsid w:val="00BE5B7C"/>
    <w:rsid w:val="00BE5C71"/>
    <w:rsid w:val="00BF77B5"/>
    <w:rsid w:val="00C01237"/>
    <w:rsid w:val="00C11E09"/>
    <w:rsid w:val="00C12E9A"/>
    <w:rsid w:val="00C144E1"/>
    <w:rsid w:val="00C1526D"/>
    <w:rsid w:val="00C16936"/>
    <w:rsid w:val="00C22595"/>
    <w:rsid w:val="00C233A3"/>
    <w:rsid w:val="00C27D29"/>
    <w:rsid w:val="00C303D2"/>
    <w:rsid w:val="00C30ACC"/>
    <w:rsid w:val="00C312BB"/>
    <w:rsid w:val="00C33B6E"/>
    <w:rsid w:val="00C34C4C"/>
    <w:rsid w:val="00C34EB6"/>
    <w:rsid w:val="00C35087"/>
    <w:rsid w:val="00C4029B"/>
    <w:rsid w:val="00C41F8E"/>
    <w:rsid w:val="00C45502"/>
    <w:rsid w:val="00C46A1A"/>
    <w:rsid w:val="00C51976"/>
    <w:rsid w:val="00C52976"/>
    <w:rsid w:val="00C52A13"/>
    <w:rsid w:val="00C552F5"/>
    <w:rsid w:val="00C57802"/>
    <w:rsid w:val="00C61838"/>
    <w:rsid w:val="00C62783"/>
    <w:rsid w:val="00C63CDF"/>
    <w:rsid w:val="00C7422E"/>
    <w:rsid w:val="00C748D3"/>
    <w:rsid w:val="00C84740"/>
    <w:rsid w:val="00C85060"/>
    <w:rsid w:val="00C86B5D"/>
    <w:rsid w:val="00C86DCD"/>
    <w:rsid w:val="00C9130A"/>
    <w:rsid w:val="00C946A4"/>
    <w:rsid w:val="00C95A1A"/>
    <w:rsid w:val="00CA1EE2"/>
    <w:rsid w:val="00CA2261"/>
    <w:rsid w:val="00CA3679"/>
    <w:rsid w:val="00CA546E"/>
    <w:rsid w:val="00CA6CD7"/>
    <w:rsid w:val="00CB515D"/>
    <w:rsid w:val="00CC0C13"/>
    <w:rsid w:val="00CC7AFC"/>
    <w:rsid w:val="00CC7BE5"/>
    <w:rsid w:val="00CD185B"/>
    <w:rsid w:val="00CD30C7"/>
    <w:rsid w:val="00CD4147"/>
    <w:rsid w:val="00CD6F0C"/>
    <w:rsid w:val="00CD7787"/>
    <w:rsid w:val="00CD7A39"/>
    <w:rsid w:val="00CE7935"/>
    <w:rsid w:val="00CF1191"/>
    <w:rsid w:val="00CF1B2F"/>
    <w:rsid w:val="00D001A7"/>
    <w:rsid w:val="00D00D9F"/>
    <w:rsid w:val="00D01A3F"/>
    <w:rsid w:val="00D137C9"/>
    <w:rsid w:val="00D1384F"/>
    <w:rsid w:val="00D24817"/>
    <w:rsid w:val="00D347B9"/>
    <w:rsid w:val="00D34AE9"/>
    <w:rsid w:val="00D3625F"/>
    <w:rsid w:val="00D45FFF"/>
    <w:rsid w:val="00D557E7"/>
    <w:rsid w:val="00D55931"/>
    <w:rsid w:val="00D618C6"/>
    <w:rsid w:val="00D62337"/>
    <w:rsid w:val="00D62472"/>
    <w:rsid w:val="00D65BC5"/>
    <w:rsid w:val="00D7312E"/>
    <w:rsid w:val="00D74EC9"/>
    <w:rsid w:val="00D81202"/>
    <w:rsid w:val="00D81291"/>
    <w:rsid w:val="00D81914"/>
    <w:rsid w:val="00D8396F"/>
    <w:rsid w:val="00D84759"/>
    <w:rsid w:val="00D854C7"/>
    <w:rsid w:val="00D85699"/>
    <w:rsid w:val="00D85E83"/>
    <w:rsid w:val="00D8743F"/>
    <w:rsid w:val="00D91F37"/>
    <w:rsid w:val="00D936C5"/>
    <w:rsid w:val="00D93E19"/>
    <w:rsid w:val="00D9411C"/>
    <w:rsid w:val="00D97C41"/>
    <w:rsid w:val="00DA0A80"/>
    <w:rsid w:val="00DA519E"/>
    <w:rsid w:val="00DB170E"/>
    <w:rsid w:val="00DB1F75"/>
    <w:rsid w:val="00DB3D6B"/>
    <w:rsid w:val="00DB3F0A"/>
    <w:rsid w:val="00DB693D"/>
    <w:rsid w:val="00DC05E7"/>
    <w:rsid w:val="00DC079B"/>
    <w:rsid w:val="00DC48F4"/>
    <w:rsid w:val="00DC6EC3"/>
    <w:rsid w:val="00DC7003"/>
    <w:rsid w:val="00DC7AAE"/>
    <w:rsid w:val="00DD673A"/>
    <w:rsid w:val="00DE2BBC"/>
    <w:rsid w:val="00DE2FC1"/>
    <w:rsid w:val="00DE3C57"/>
    <w:rsid w:val="00DE4D05"/>
    <w:rsid w:val="00DE655F"/>
    <w:rsid w:val="00DF4635"/>
    <w:rsid w:val="00E01BD8"/>
    <w:rsid w:val="00E0725A"/>
    <w:rsid w:val="00E111B3"/>
    <w:rsid w:val="00E14F0F"/>
    <w:rsid w:val="00E22778"/>
    <w:rsid w:val="00E23CBA"/>
    <w:rsid w:val="00E41CAF"/>
    <w:rsid w:val="00E521CC"/>
    <w:rsid w:val="00E579F5"/>
    <w:rsid w:val="00E67532"/>
    <w:rsid w:val="00E675D7"/>
    <w:rsid w:val="00E706AB"/>
    <w:rsid w:val="00E71A5A"/>
    <w:rsid w:val="00E75164"/>
    <w:rsid w:val="00E76333"/>
    <w:rsid w:val="00E768B3"/>
    <w:rsid w:val="00E82AEE"/>
    <w:rsid w:val="00E84433"/>
    <w:rsid w:val="00E84D8D"/>
    <w:rsid w:val="00E85743"/>
    <w:rsid w:val="00E85ED8"/>
    <w:rsid w:val="00E8649F"/>
    <w:rsid w:val="00E87BEA"/>
    <w:rsid w:val="00E90781"/>
    <w:rsid w:val="00E92973"/>
    <w:rsid w:val="00E94092"/>
    <w:rsid w:val="00E95258"/>
    <w:rsid w:val="00EA680E"/>
    <w:rsid w:val="00EA6E4E"/>
    <w:rsid w:val="00EB067F"/>
    <w:rsid w:val="00EB2674"/>
    <w:rsid w:val="00EB6715"/>
    <w:rsid w:val="00EC42F2"/>
    <w:rsid w:val="00ED4398"/>
    <w:rsid w:val="00ED59A1"/>
    <w:rsid w:val="00ED63D6"/>
    <w:rsid w:val="00EE11C8"/>
    <w:rsid w:val="00EE1A94"/>
    <w:rsid w:val="00EE2394"/>
    <w:rsid w:val="00EE4872"/>
    <w:rsid w:val="00EE4925"/>
    <w:rsid w:val="00EE5222"/>
    <w:rsid w:val="00EE619C"/>
    <w:rsid w:val="00EE7BCA"/>
    <w:rsid w:val="00EF2F72"/>
    <w:rsid w:val="00EF549D"/>
    <w:rsid w:val="00F01E22"/>
    <w:rsid w:val="00F036EF"/>
    <w:rsid w:val="00F043FC"/>
    <w:rsid w:val="00F04461"/>
    <w:rsid w:val="00F05BFF"/>
    <w:rsid w:val="00F0684C"/>
    <w:rsid w:val="00F1008F"/>
    <w:rsid w:val="00F144EB"/>
    <w:rsid w:val="00F16F39"/>
    <w:rsid w:val="00F1763E"/>
    <w:rsid w:val="00F20072"/>
    <w:rsid w:val="00F20280"/>
    <w:rsid w:val="00F20871"/>
    <w:rsid w:val="00F2412B"/>
    <w:rsid w:val="00F24D6E"/>
    <w:rsid w:val="00F26E39"/>
    <w:rsid w:val="00F30953"/>
    <w:rsid w:val="00F30F94"/>
    <w:rsid w:val="00F41FCE"/>
    <w:rsid w:val="00F46864"/>
    <w:rsid w:val="00F50D9E"/>
    <w:rsid w:val="00F55E5B"/>
    <w:rsid w:val="00F60081"/>
    <w:rsid w:val="00F636DC"/>
    <w:rsid w:val="00F63C95"/>
    <w:rsid w:val="00F67722"/>
    <w:rsid w:val="00F7287A"/>
    <w:rsid w:val="00F7429D"/>
    <w:rsid w:val="00F74845"/>
    <w:rsid w:val="00F75E7A"/>
    <w:rsid w:val="00F82950"/>
    <w:rsid w:val="00F83E2A"/>
    <w:rsid w:val="00F84E07"/>
    <w:rsid w:val="00F93541"/>
    <w:rsid w:val="00F979A4"/>
    <w:rsid w:val="00FA02B4"/>
    <w:rsid w:val="00FA0E95"/>
    <w:rsid w:val="00FA19B4"/>
    <w:rsid w:val="00FA1C1B"/>
    <w:rsid w:val="00FA25D3"/>
    <w:rsid w:val="00FA325A"/>
    <w:rsid w:val="00FA4239"/>
    <w:rsid w:val="00FA493A"/>
    <w:rsid w:val="00FA5CEC"/>
    <w:rsid w:val="00FA723E"/>
    <w:rsid w:val="00FB00E7"/>
    <w:rsid w:val="00FB157F"/>
    <w:rsid w:val="00FB1C60"/>
    <w:rsid w:val="00FB49CC"/>
    <w:rsid w:val="00FB4E76"/>
    <w:rsid w:val="00FB6363"/>
    <w:rsid w:val="00FB713B"/>
    <w:rsid w:val="00FB794B"/>
    <w:rsid w:val="00FC1AD4"/>
    <w:rsid w:val="00FC2EC9"/>
    <w:rsid w:val="00FC3F3C"/>
    <w:rsid w:val="00FC452B"/>
    <w:rsid w:val="00FC67ED"/>
    <w:rsid w:val="00FD02CF"/>
    <w:rsid w:val="00FD5299"/>
    <w:rsid w:val="00FD67D8"/>
    <w:rsid w:val="00FE4A02"/>
    <w:rsid w:val="00FE57C4"/>
    <w:rsid w:val="00FE72D9"/>
    <w:rsid w:val="00FF1B4A"/>
    <w:rsid w:val="00FF456E"/>
    <w:rsid w:val="00FF66DE"/>
    <w:rsid w:val="00FF7478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D4A1A"/>
  <w15:docId w15:val="{7A96223C-1B36-45B3-A1A1-339F4E2F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2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B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14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D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C8"/>
  </w:style>
  <w:style w:type="paragraph" w:styleId="Footer">
    <w:name w:val="footer"/>
    <w:basedOn w:val="Normal"/>
    <w:link w:val="FooterChar"/>
    <w:uiPriority w:val="99"/>
    <w:unhideWhenUsed/>
    <w:rsid w:val="001C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C8"/>
  </w:style>
  <w:style w:type="paragraph" w:styleId="ListParagraph">
    <w:name w:val="List Paragraph"/>
    <w:basedOn w:val="Normal"/>
    <w:uiPriority w:val="34"/>
    <w:qFormat/>
    <w:rsid w:val="005A42AA"/>
    <w:pPr>
      <w:ind w:left="720"/>
      <w:contextualSpacing/>
    </w:pPr>
  </w:style>
  <w:style w:type="table" w:styleId="TableGrid">
    <w:name w:val="Table Grid"/>
    <w:basedOn w:val="TableNormal"/>
    <w:uiPriority w:val="59"/>
    <w:rsid w:val="0001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F76B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F76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76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F76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29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eastAsia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9A4"/>
    <w:rPr>
      <w:color w:val="808080"/>
      <w:shd w:val="clear" w:color="auto" w:fill="E6E6E6"/>
    </w:rPr>
  </w:style>
  <w:style w:type="paragraph" w:customStyle="1" w:styleId="Default">
    <w:name w:val="Default"/>
    <w:rsid w:val="006E6E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E2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E2B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4147"/>
    <w:rPr>
      <w:rFonts w:asciiTheme="majorHAnsi" w:eastAsiaTheme="majorEastAsia" w:hAnsiTheme="majorHAns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0B77-1A1C-4754-888D-BA7AFE9A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Boyer</dc:creator>
  <cp:lastModifiedBy>Vicken Avrikian</cp:lastModifiedBy>
  <cp:revision>9</cp:revision>
  <cp:lastPrinted>2019-10-31T13:22:00Z</cp:lastPrinted>
  <dcterms:created xsi:type="dcterms:W3CDTF">2019-09-19T12:29:00Z</dcterms:created>
  <dcterms:modified xsi:type="dcterms:W3CDTF">2019-10-31T14:48:00Z</dcterms:modified>
</cp:coreProperties>
</file>