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903FB" w14:textId="77777777" w:rsidR="00622889" w:rsidRPr="00FF1DD7" w:rsidRDefault="00000000">
      <w:pPr>
        <w:spacing w:after="120" w:line="240" w:lineRule="auto"/>
        <w:jc w:val="center"/>
        <w:rPr>
          <w:b/>
          <w:sz w:val="28"/>
          <w:szCs w:val="28"/>
          <w:lang w:val="fr-CA"/>
        </w:rPr>
      </w:pPr>
      <w:bookmarkStart w:id="0" w:name="_heading=h.gjdgxs" w:colFirst="0" w:colLast="0"/>
      <w:bookmarkStart w:id="1" w:name="_Hlk196980342"/>
      <w:bookmarkEnd w:id="0"/>
      <w:r>
        <w:rPr>
          <w:b/>
          <w:bCs/>
          <w:sz w:val="28"/>
          <w:szCs w:val="28"/>
          <w:lang w:val="fr-CA"/>
        </w:rPr>
        <w:t>Politique sur les négociations et les conflits de travail</w:t>
      </w:r>
    </w:p>
    <w:bookmarkEnd w:id="1"/>
    <w:p w14:paraId="6E0A7B37" w14:textId="20712F47" w:rsidR="00622889" w:rsidRPr="00FF1DD7" w:rsidRDefault="00000000">
      <w:pPr>
        <w:spacing w:after="240" w:line="240" w:lineRule="auto"/>
        <w:jc w:val="center"/>
        <w:rPr>
          <w:b/>
          <w:sz w:val="24"/>
          <w:szCs w:val="24"/>
          <w:lang w:val="fr-CA"/>
        </w:rPr>
      </w:pPr>
      <w:r>
        <w:rPr>
          <w:b/>
          <w:bCs/>
          <w:sz w:val="24"/>
          <w:szCs w:val="24"/>
          <w:lang w:val="fr-CA"/>
        </w:rPr>
        <w:t>En vigueur depuis </w:t>
      </w:r>
      <w:r w:rsidRPr="00F75222">
        <w:rPr>
          <w:b/>
          <w:bCs/>
          <w:sz w:val="24"/>
          <w:szCs w:val="24"/>
          <w:lang w:val="fr-CA"/>
        </w:rPr>
        <w:t xml:space="preserve">: </w:t>
      </w:r>
      <w:r w:rsidR="00713B9E" w:rsidRPr="00F75222">
        <w:rPr>
          <w:b/>
          <w:bCs/>
          <w:sz w:val="24"/>
          <w:szCs w:val="24"/>
          <w:lang w:val="fr-CA"/>
        </w:rPr>
        <w:t>6 mai 2025</w:t>
      </w:r>
    </w:p>
    <w:p w14:paraId="4816EDFA" w14:textId="022E7560" w:rsidR="00F92129" w:rsidRPr="00713B9E" w:rsidRDefault="00F92129" w:rsidP="00F92129">
      <w:pPr>
        <w:spacing w:after="240" w:line="240" w:lineRule="auto"/>
        <w:jc w:val="right"/>
        <w:rPr>
          <w:bCs/>
          <w:i/>
          <w:iCs/>
          <w:sz w:val="18"/>
          <w:szCs w:val="18"/>
          <w:lang w:val="fr-CA"/>
        </w:rPr>
      </w:pPr>
      <w:r>
        <w:rPr>
          <w:i/>
          <w:iCs/>
          <w:sz w:val="18"/>
          <w:szCs w:val="18"/>
          <w:lang w:val="fr-CA"/>
        </w:rPr>
        <w:t>(Traduit de l’anglais)</w:t>
      </w:r>
    </w:p>
    <w:tbl>
      <w:tblPr>
        <w:tblStyle w:val="a0"/>
        <w:tblW w:w="99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7344"/>
      </w:tblGrid>
      <w:tr w:rsidR="00622889" w:rsidRPr="00F75222" w14:paraId="5678EEB1" w14:textId="77777777">
        <w:trPr>
          <w:cantSplit/>
        </w:trPr>
        <w:tc>
          <w:tcPr>
            <w:tcW w:w="2628" w:type="dxa"/>
          </w:tcPr>
          <w:p w14:paraId="2325CE50" w14:textId="77777777" w:rsidR="00622889"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bCs/>
                <w:color w:val="000000"/>
                <w:sz w:val="24"/>
                <w:szCs w:val="24"/>
                <w:lang w:val="fr-CA"/>
              </w:rPr>
              <w:t>But et portée</w:t>
            </w:r>
          </w:p>
        </w:tc>
        <w:tc>
          <w:tcPr>
            <w:tcW w:w="7344" w:type="dxa"/>
          </w:tcPr>
          <w:p w14:paraId="7C68AB1A" w14:textId="77FA173C" w:rsidR="00622889" w:rsidRPr="00FF1DD7" w:rsidRDefault="00000000">
            <w:pPr>
              <w:spacing w:before="120"/>
              <w:rPr>
                <w:lang w:val="fr-CA"/>
              </w:rPr>
            </w:pPr>
            <w:r>
              <w:rPr>
                <w:lang w:val="fr-CA"/>
              </w:rPr>
              <w:t>Définir les paramètres de négociation de l’Institut.</w:t>
            </w:r>
          </w:p>
        </w:tc>
      </w:tr>
      <w:tr w:rsidR="00622889" w:rsidRPr="00F75222" w14:paraId="5247C540" w14:textId="77777777">
        <w:trPr>
          <w:cantSplit/>
        </w:trPr>
        <w:tc>
          <w:tcPr>
            <w:tcW w:w="2628" w:type="dxa"/>
          </w:tcPr>
          <w:p w14:paraId="7869EC04" w14:textId="77777777" w:rsidR="00622889" w:rsidRPr="00FF1DD7"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t>Priorités et stratégies de négociation</w:t>
            </w:r>
          </w:p>
        </w:tc>
        <w:tc>
          <w:tcPr>
            <w:tcW w:w="7344" w:type="dxa"/>
          </w:tcPr>
          <w:p w14:paraId="12904EFD" w14:textId="77777777" w:rsidR="00622889" w:rsidRPr="00FF1DD7" w:rsidRDefault="00000000">
            <w:pPr>
              <w:spacing w:before="120"/>
              <w:rPr>
                <w:lang w:val="fr-CA"/>
              </w:rPr>
            </w:pPr>
            <w:r>
              <w:rPr>
                <w:lang w:val="fr-CA"/>
              </w:rPr>
              <w:t>Les certificats d’accréditation sont détenus par l’Institut, qui peut établir à sa discrétion des stratégies de négociation conformes aux priorités et aux objectifs généraux de l’Institut.</w:t>
            </w:r>
          </w:p>
          <w:p w14:paraId="45330B5D" w14:textId="73910911" w:rsidR="00622889" w:rsidRPr="00FF1DD7" w:rsidRDefault="00000000">
            <w:pPr>
              <w:spacing w:before="120"/>
              <w:rPr>
                <w:lang w:val="fr-CA"/>
              </w:rPr>
            </w:pPr>
            <w:r>
              <w:rPr>
                <w:lang w:val="fr-CA"/>
              </w:rPr>
              <w:t>Les groupes de l’Institut peuvent également établir leurs propres priorités et stratégies de négociation pour répondre aux préoccupations particulières de leurs membres.</w:t>
            </w:r>
          </w:p>
        </w:tc>
      </w:tr>
      <w:tr w:rsidR="00622889" w:rsidRPr="00F75222" w14:paraId="4DC70D9A" w14:textId="77777777">
        <w:trPr>
          <w:cantSplit/>
        </w:trPr>
        <w:tc>
          <w:tcPr>
            <w:tcW w:w="2628" w:type="dxa"/>
          </w:tcPr>
          <w:p w14:paraId="2667199E" w14:textId="77777777" w:rsidR="00622889" w:rsidRPr="00FF1DD7"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t>Représentation de l’autorité de l’Institut</w:t>
            </w:r>
          </w:p>
        </w:tc>
        <w:tc>
          <w:tcPr>
            <w:tcW w:w="7344" w:type="dxa"/>
          </w:tcPr>
          <w:p w14:paraId="5C4E956B" w14:textId="09EEF7A2" w:rsidR="00622889" w:rsidRPr="00FF1DD7" w:rsidRDefault="00000000">
            <w:pPr>
              <w:spacing w:before="120"/>
              <w:rPr>
                <w:lang w:val="fr-CA"/>
              </w:rPr>
            </w:pPr>
            <w:r>
              <w:rPr>
                <w:lang w:val="fr-CA"/>
              </w:rPr>
              <w:t>Lorsque les membres d’un groupe et le personnel de l’Institut représentent conjointement l’Institut dans le contexte de négociations collectives (p. ex. lors de négociations ou de comparutions devant des conseils de conciliation ou d’arbitrage), l’autorité de l’Institut est conférée à son personnel, qui travaille en consultation avec les membres de l’exécutif de ce groupe. L’exécutif du groupe fait connaître au personnel de l’Institut ses priorités en matière de négociation.</w:t>
            </w:r>
          </w:p>
        </w:tc>
      </w:tr>
      <w:tr w:rsidR="00622889" w:rsidRPr="00F75222" w14:paraId="3D952609" w14:textId="77777777">
        <w:trPr>
          <w:cantSplit/>
        </w:trPr>
        <w:tc>
          <w:tcPr>
            <w:tcW w:w="2628" w:type="dxa"/>
          </w:tcPr>
          <w:p w14:paraId="68619DB7" w14:textId="77777777" w:rsidR="00622889" w:rsidRPr="00FF1DD7"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t>Financement des activités de négociation</w:t>
            </w:r>
          </w:p>
        </w:tc>
        <w:tc>
          <w:tcPr>
            <w:tcW w:w="7344" w:type="dxa"/>
          </w:tcPr>
          <w:p w14:paraId="03EC6E58" w14:textId="2E79B5F6" w:rsidR="00622889" w:rsidRPr="00FF1DD7" w:rsidRDefault="00000000">
            <w:pPr>
              <w:spacing w:before="120"/>
              <w:rPr>
                <w:lang w:val="fr-CA"/>
              </w:rPr>
            </w:pPr>
            <w:r>
              <w:rPr>
                <w:lang w:val="fr-CA"/>
              </w:rPr>
              <w:t>L’Institut gère un fonds de négociation distinct pour financer les activités de négociations :</w:t>
            </w:r>
          </w:p>
          <w:p w14:paraId="2051D8EC" w14:textId="77777777" w:rsidR="00622889" w:rsidRPr="00FF1DD7" w:rsidRDefault="00000000">
            <w:pPr>
              <w:numPr>
                <w:ilvl w:val="0"/>
                <w:numId w:val="5"/>
              </w:numPr>
              <w:pBdr>
                <w:top w:val="nil"/>
                <w:left w:val="nil"/>
                <w:bottom w:val="nil"/>
                <w:right w:val="nil"/>
                <w:between w:val="nil"/>
              </w:pBdr>
              <w:spacing w:before="120" w:line="276" w:lineRule="auto"/>
              <w:rPr>
                <w:lang w:val="fr-CA"/>
              </w:rPr>
            </w:pPr>
            <w:r>
              <w:rPr>
                <w:rFonts w:ascii="Calibri" w:hAnsi="Calibri"/>
                <w:color w:val="000000"/>
                <w:lang w:val="fr-CA"/>
              </w:rPr>
              <w:t>L’Institut transfère les fonds inutilisés de l’allocation budgétaire de négociation de 2 $ par membre par mois;</w:t>
            </w:r>
          </w:p>
          <w:p w14:paraId="7EFB9CFD" w14:textId="77777777" w:rsidR="00622889" w:rsidRPr="00FF1DD7" w:rsidRDefault="00000000">
            <w:pPr>
              <w:numPr>
                <w:ilvl w:val="0"/>
                <w:numId w:val="5"/>
              </w:numPr>
              <w:pBdr>
                <w:top w:val="nil"/>
                <w:left w:val="nil"/>
                <w:bottom w:val="nil"/>
                <w:right w:val="nil"/>
                <w:between w:val="nil"/>
              </w:pBdr>
              <w:spacing w:line="276" w:lineRule="auto"/>
              <w:rPr>
                <w:lang w:val="fr-CA"/>
              </w:rPr>
            </w:pPr>
            <w:r>
              <w:rPr>
                <w:rFonts w:ascii="Calibri" w:hAnsi="Calibri"/>
                <w:color w:val="000000"/>
                <w:lang w:val="fr-CA"/>
              </w:rPr>
              <w:t>Aucune contribution n’est faite les mois où le solde d’ouverture du fond dépasse 5 millions de dollars;</w:t>
            </w:r>
          </w:p>
          <w:p w14:paraId="15C28C26" w14:textId="77777777" w:rsidR="00622889" w:rsidRPr="00FF1DD7" w:rsidRDefault="00000000">
            <w:pPr>
              <w:numPr>
                <w:ilvl w:val="0"/>
                <w:numId w:val="5"/>
              </w:numPr>
              <w:pBdr>
                <w:top w:val="nil"/>
                <w:left w:val="nil"/>
                <w:bottom w:val="nil"/>
                <w:right w:val="nil"/>
                <w:between w:val="nil"/>
              </w:pBdr>
              <w:spacing w:line="276" w:lineRule="auto"/>
              <w:rPr>
                <w:lang w:val="fr-CA"/>
              </w:rPr>
            </w:pPr>
            <w:r>
              <w:rPr>
                <w:rFonts w:ascii="Calibri" w:hAnsi="Calibri"/>
                <w:color w:val="000000"/>
                <w:lang w:val="fr-CA"/>
              </w:rPr>
              <w:t>Ces fonds sont conservés dans un compte de liquidités, qui restent disponibles;</w:t>
            </w:r>
          </w:p>
          <w:p w14:paraId="6387598E" w14:textId="77777777" w:rsidR="00622889" w:rsidRDefault="00000000">
            <w:pPr>
              <w:numPr>
                <w:ilvl w:val="0"/>
                <w:numId w:val="5"/>
              </w:numPr>
              <w:pBdr>
                <w:top w:val="nil"/>
                <w:left w:val="nil"/>
                <w:bottom w:val="nil"/>
                <w:right w:val="nil"/>
                <w:between w:val="nil"/>
              </w:pBdr>
              <w:spacing w:after="200" w:line="276" w:lineRule="auto"/>
            </w:pPr>
            <w:r>
              <w:rPr>
                <w:rFonts w:ascii="Calibri" w:hAnsi="Calibri"/>
                <w:color w:val="000000"/>
                <w:lang w:val="fr-CA"/>
              </w:rPr>
              <w:t xml:space="preserve">Les groupes de l’Institut peuvent accéder aux fonds de ce compte pour financer leurs activités de négociation. </w:t>
            </w:r>
            <w:r w:rsidRPr="00F75222">
              <w:rPr>
                <w:rFonts w:ascii="Calibri" w:hAnsi="Calibri"/>
                <w:b/>
                <w:bCs/>
                <w:color w:val="000000"/>
                <w:lang w:val="fr-CA"/>
              </w:rPr>
              <w:t>(AGA 2008; CA, février 2012)</w:t>
            </w:r>
          </w:p>
          <w:p w14:paraId="5A838EED" w14:textId="77777777" w:rsidR="00622889" w:rsidRPr="00FF1DD7" w:rsidRDefault="00000000">
            <w:pPr>
              <w:spacing w:before="120"/>
              <w:rPr>
                <w:lang w:val="fr-CA"/>
              </w:rPr>
            </w:pPr>
            <w:r>
              <w:rPr>
                <w:lang w:val="fr-CA"/>
              </w:rPr>
              <w:t>Le fonds de négociation n’est entamé que si le poste budgétaire des négociations est complètement utilisé pour l’année.</w:t>
            </w:r>
          </w:p>
          <w:p w14:paraId="040EFAFC" w14:textId="1611EEF5" w:rsidR="00622889" w:rsidRPr="00FF1DD7" w:rsidRDefault="00000000">
            <w:pPr>
              <w:spacing w:before="120"/>
              <w:rPr>
                <w:lang w:val="fr-CA"/>
              </w:rPr>
            </w:pPr>
            <w:r>
              <w:rPr>
                <w:lang w:val="fr-CA"/>
              </w:rPr>
              <w:t>L’équipe de négociation d’un groupe doit communiquer avec le/la négociateur·rice qui lui a été affecté·e pour déterminer les besoins en réunions préparatoires, en réunions de négociation et en analyse rétrospective de négociations.</w:t>
            </w:r>
          </w:p>
          <w:p w14:paraId="4DBF43B4" w14:textId="77777777" w:rsidR="00622889" w:rsidRPr="00FF1DD7" w:rsidRDefault="00000000">
            <w:pPr>
              <w:spacing w:before="120"/>
              <w:rPr>
                <w:lang w:val="fr-CA"/>
              </w:rPr>
            </w:pPr>
            <w:r>
              <w:rPr>
                <w:lang w:val="fr-CA"/>
              </w:rPr>
              <w:t>Le personnel délégué de l’Institut utilise à sa discrétion les fonds de l’Institut pour mener les négociations.</w:t>
            </w:r>
          </w:p>
        </w:tc>
      </w:tr>
      <w:tr w:rsidR="00622889" w:rsidRPr="00F75222" w14:paraId="028D6F72" w14:textId="77777777">
        <w:trPr>
          <w:cantSplit/>
        </w:trPr>
        <w:tc>
          <w:tcPr>
            <w:tcW w:w="2628" w:type="dxa"/>
          </w:tcPr>
          <w:p w14:paraId="1DE0F25A" w14:textId="77777777" w:rsidR="00622889" w:rsidRPr="00FF1DD7"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lastRenderedPageBreak/>
              <w:t>Salaire compensatoire et frais de voyage pour les négociations</w:t>
            </w:r>
          </w:p>
        </w:tc>
        <w:tc>
          <w:tcPr>
            <w:tcW w:w="7344" w:type="dxa"/>
          </w:tcPr>
          <w:p w14:paraId="59BE1A52" w14:textId="77777777" w:rsidR="00622889" w:rsidRPr="00FF1DD7" w:rsidRDefault="00000000">
            <w:pPr>
              <w:spacing w:before="120"/>
              <w:rPr>
                <w:b/>
                <w:lang w:val="fr-CA"/>
              </w:rPr>
            </w:pPr>
            <w:r>
              <w:rPr>
                <w:b/>
                <w:bCs/>
                <w:lang w:val="fr-CA"/>
              </w:rPr>
              <w:t>Réunions préparatoires – tous les groupes</w:t>
            </w:r>
          </w:p>
          <w:p w14:paraId="6D049B65" w14:textId="77777777" w:rsidR="00622889" w:rsidRPr="00FF1DD7" w:rsidRDefault="00000000">
            <w:pPr>
              <w:spacing w:before="120"/>
              <w:rPr>
                <w:lang w:val="fr-CA"/>
              </w:rPr>
            </w:pPr>
            <w:bookmarkStart w:id="2" w:name="_heading=h.30j0zll" w:colFirst="0" w:colLast="0"/>
            <w:bookmarkEnd w:id="2"/>
            <w:r>
              <w:rPr>
                <w:lang w:val="fr-CA"/>
              </w:rPr>
              <w:t>Pendant les préparatifs des négociations, avant le dépôt des revendications, les salaires compensatoires et les frais de voyage sont payés jusqu’à concurrence de dix-huit (18) jours par personne, par groupe et par ronde de négociations.</w:t>
            </w:r>
          </w:p>
          <w:p w14:paraId="64CA6933" w14:textId="3E3E246F" w:rsidR="00622889" w:rsidRDefault="00000000">
            <w:pPr>
              <w:spacing w:before="120"/>
              <w:rPr>
                <w:b/>
              </w:rPr>
            </w:pPr>
            <w:r>
              <w:rPr>
                <w:b/>
                <w:bCs/>
                <w:lang w:val="fr-CA"/>
              </w:rPr>
              <w:t>Négociations</w:t>
            </w:r>
          </w:p>
          <w:p w14:paraId="4432BEF1" w14:textId="77777777" w:rsidR="00622889" w:rsidRPr="00FF1DD7" w:rsidRDefault="00000000">
            <w:pPr>
              <w:numPr>
                <w:ilvl w:val="0"/>
                <w:numId w:val="7"/>
              </w:numPr>
              <w:pBdr>
                <w:top w:val="nil"/>
                <w:left w:val="nil"/>
                <w:bottom w:val="nil"/>
                <w:right w:val="nil"/>
                <w:between w:val="nil"/>
              </w:pBdr>
              <w:spacing w:before="120" w:line="276" w:lineRule="auto"/>
              <w:ind w:left="360" w:hanging="360"/>
              <w:rPr>
                <w:lang w:val="fr-CA"/>
              </w:rPr>
            </w:pPr>
            <w:r>
              <w:rPr>
                <w:rFonts w:ascii="Calibri" w:hAnsi="Calibri"/>
                <w:color w:val="000000"/>
                <w:lang w:val="fr-CA"/>
              </w:rPr>
              <w:t>Le salaire compensatoire et les frais de voyage ne sont payés qu’aux membres de l’équipe de négociation.</w:t>
            </w:r>
          </w:p>
          <w:p w14:paraId="69D3EF3A" w14:textId="77777777" w:rsidR="00622889" w:rsidRPr="00FF1DD7" w:rsidRDefault="00000000">
            <w:pPr>
              <w:numPr>
                <w:ilvl w:val="0"/>
                <w:numId w:val="7"/>
              </w:numPr>
              <w:pBdr>
                <w:top w:val="nil"/>
                <w:left w:val="nil"/>
                <w:bottom w:val="nil"/>
                <w:right w:val="nil"/>
                <w:between w:val="nil"/>
              </w:pBdr>
              <w:spacing w:after="200" w:line="276" w:lineRule="auto"/>
              <w:ind w:left="360" w:hanging="360"/>
              <w:rPr>
                <w:lang w:val="fr-CA"/>
              </w:rPr>
            </w:pPr>
            <w:r>
              <w:rPr>
                <w:rFonts w:ascii="Calibri" w:hAnsi="Calibri"/>
                <w:color w:val="000000"/>
                <w:lang w:val="fr-CA"/>
              </w:rPr>
              <w:t>Le salaire compensatoire et les frais de voyage des membres de l’équipe de négociation s’appliquent aux séances de négociation et aux réunions s’y rattachant, comme les réunions de désignation et les séances d’arbitrage et de conciliation.</w:t>
            </w:r>
          </w:p>
        </w:tc>
      </w:tr>
      <w:tr w:rsidR="00622889" w:rsidRPr="00F75222" w14:paraId="0B8DF8E3" w14:textId="77777777">
        <w:trPr>
          <w:cantSplit/>
        </w:trPr>
        <w:tc>
          <w:tcPr>
            <w:tcW w:w="2628" w:type="dxa"/>
          </w:tcPr>
          <w:p w14:paraId="06F9270F" w14:textId="77777777" w:rsidR="00622889" w:rsidRPr="00FF1DD7"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lastRenderedPageBreak/>
              <w:t>Mesures en cas de conflits de travail</w:t>
            </w:r>
          </w:p>
        </w:tc>
        <w:tc>
          <w:tcPr>
            <w:tcW w:w="7344" w:type="dxa"/>
          </w:tcPr>
          <w:p w14:paraId="1F5C183C" w14:textId="77777777" w:rsidR="00622889" w:rsidRDefault="00000000">
            <w:pPr>
              <w:spacing w:before="120"/>
              <w:rPr>
                <w:b/>
              </w:rPr>
            </w:pPr>
            <w:r>
              <w:rPr>
                <w:b/>
                <w:bCs/>
                <w:lang w:val="fr-CA"/>
              </w:rPr>
              <w:t>Mesures de grève</w:t>
            </w:r>
          </w:p>
          <w:p w14:paraId="2B1A7F98" w14:textId="286F89EF" w:rsidR="00622889" w:rsidRPr="00FF1DD7" w:rsidRDefault="00000000">
            <w:pPr>
              <w:numPr>
                <w:ilvl w:val="0"/>
                <w:numId w:val="8"/>
              </w:numPr>
              <w:pBdr>
                <w:top w:val="nil"/>
                <w:left w:val="nil"/>
                <w:bottom w:val="nil"/>
                <w:right w:val="nil"/>
                <w:between w:val="nil"/>
              </w:pBdr>
              <w:spacing w:before="120" w:line="276" w:lineRule="auto"/>
              <w:ind w:left="360" w:hanging="360"/>
              <w:rPr>
                <w:lang w:val="fr-CA"/>
              </w:rPr>
            </w:pPr>
            <w:r>
              <w:rPr>
                <w:rFonts w:ascii="Calibri" w:hAnsi="Calibri"/>
                <w:color w:val="000000"/>
                <w:lang w:val="fr-CA"/>
              </w:rPr>
              <w:t>Un comité de grève de l’Institut est formé chaque fois qu’une unité de négociation de l’Institut s’engage dans la voie de la conciliation-grève.</w:t>
            </w:r>
          </w:p>
          <w:p w14:paraId="329DB197" w14:textId="41CBBB96" w:rsidR="00622889" w:rsidRPr="00855663" w:rsidRDefault="00000000">
            <w:pPr>
              <w:numPr>
                <w:ilvl w:val="1"/>
                <w:numId w:val="8"/>
              </w:numPr>
              <w:pBdr>
                <w:top w:val="nil"/>
                <w:left w:val="nil"/>
                <w:bottom w:val="nil"/>
                <w:right w:val="nil"/>
                <w:between w:val="nil"/>
              </w:pBdr>
              <w:spacing w:line="276" w:lineRule="auto"/>
              <w:ind w:left="810"/>
              <w:rPr>
                <w:lang w:val="fr-CA"/>
              </w:rPr>
            </w:pPr>
            <w:r>
              <w:rPr>
                <w:rFonts w:ascii="Calibri" w:hAnsi="Calibri"/>
                <w:color w:val="000000"/>
                <w:lang w:val="fr-CA"/>
              </w:rPr>
              <w:t xml:space="preserve">Le comité de grève comprend au moins le/la président·e de l’Institut, </w:t>
            </w:r>
            <w:r w:rsidRPr="00F75222">
              <w:rPr>
                <w:rFonts w:ascii="Calibri" w:hAnsi="Calibri"/>
                <w:color w:val="000000"/>
                <w:lang w:val="fr-CA"/>
              </w:rPr>
              <w:t>le/la directeur·rice du Service des négociations collectives et de la rémunération, le/la directeur·rice des Affaires publiques et des communications institutionnelles et le/la conseiller·ère général·e aux Affaires</w:t>
            </w:r>
            <w:r w:rsidR="00F75222">
              <w:rPr>
                <w:rFonts w:ascii="Calibri" w:hAnsi="Calibri"/>
                <w:color w:val="000000"/>
                <w:lang w:val="fr-CA"/>
              </w:rPr>
              <w:t xml:space="preserve">. </w:t>
            </w:r>
            <w:r w:rsidR="00713B9E" w:rsidRPr="00F75222">
              <w:rPr>
                <w:rFonts w:ascii="Calibri" w:hAnsi="Calibri"/>
                <w:b/>
                <w:bCs/>
                <w:color w:val="000000"/>
                <w:lang w:val="fr-CA"/>
              </w:rPr>
              <w:t>(CA mai 2025)</w:t>
            </w:r>
          </w:p>
          <w:p w14:paraId="66B2B4FF" w14:textId="3FE84CB3" w:rsidR="00622889" w:rsidRDefault="00000000">
            <w:pPr>
              <w:numPr>
                <w:ilvl w:val="1"/>
                <w:numId w:val="8"/>
              </w:numPr>
              <w:pBdr>
                <w:top w:val="nil"/>
                <w:left w:val="nil"/>
                <w:bottom w:val="nil"/>
                <w:right w:val="nil"/>
                <w:between w:val="nil"/>
              </w:pBdr>
              <w:spacing w:line="276" w:lineRule="auto"/>
              <w:ind w:left="810"/>
            </w:pPr>
            <w:r>
              <w:rPr>
                <w:rFonts w:ascii="Calibri" w:hAnsi="Calibri"/>
                <w:color w:val="000000"/>
                <w:lang w:val="fr-CA"/>
              </w:rPr>
              <w:t xml:space="preserve">L’unité de négociation qui envisage une mesure de grève peut créer un sous-comité spécial composé de membres du personnel de l’Institut et de représentant·es du groupe en question, si un tel sous-comité est jugé utile par le/la président·e de l’Institut. </w:t>
            </w:r>
            <w:r w:rsidRPr="00F75222">
              <w:rPr>
                <w:rFonts w:ascii="Calibri" w:hAnsi="Calibri"/>
                <w:b/>
                <w:bCs/>
                <w:color w:val="000000"/>
                <w:lang w:val="fr-CA"/>
              </w:rPr>
              <w:t>(CA novembre 2015)</w:t>
            </w:r>
          </w:p>
          <w:p w14:paraId="70D6999A" w14:textId="4DD33562" w:rsidR="00622889" w:rsidRDefault="00000000">
            <w:pPr>
              <w:numPr>
                <w:ilvl w:val="0"/>
                <w:numId w:val="8"/>
              </w:numPr>
              <w:pBdr>
                <w:top w:val="nil"/>
                <w:left w:val="nil"/>
                <w:bottom w:val="nil"/>
                <w:right w:val="nil"/>
                <w:between w:val="nil"/>
              </w:pBdr>
              <w:spacing w:line="276" w:lineRule="auto"/>
              <w:ind w:left="360" w:hanging="360"/>
            </w:pPr>
            <w:r>
              <w:rPr>
                <w:rFonts w:ascii="Calibri" w:hAnsi="Calibri"/>
                <w:color w:val="000000"/>
                <w:lang w:val="fr-CA"/>
              </w:rPr>
              <w:t xml:space="preserve">Seul·le le/la président·e de l’Institut peut autoriser une grève, après avoir consulté le Comité de grève de l’Institut. </w:t>
            </w:r>
            <w:r w:rsidRPr="00F75222">
              <w:rPr>
                <w:rFonts w:ascii="Calibri" w:hAnsi="Calibri"/>
                <w:b/>
                <w:bCs/>
                <w:color w:val="000000"/>
                <w:lang w:val="fr-CA"/>
              </w:rPr>
              <w:t>(CA novembre 2015)</w:t>
            </w:r>
          </w:p>
          <w:p w14:paraId="73CF8DF2" w14:textId="3C4C3B16" w:rsidR="00622889" w:rsidRPr="00FF1DD7" w:rsidRDefault="00000000">
            <w:pPr>
              <w:numPr>
                <w:ilvl w:val="0"/>
                <w:numId w:val="8"/>
              </w:numPr>
              <w:pBdr>
                <w:top w:val="nil"/>
                <w:left w:val="nil"/>
                <w:bottom w:val="nil"/>
                <w:right w:val="nil"/>
                <w:between w:val="nil"/>
              </w:pBdr>
              <w:spacing w:line="276" w:lineRule="auto"/>
              <w:ind w:left="360" w:hanging="360"/>
              <w:rPr>
                <w:lang w:val="fr-CA"/>
              </w:rPr>
            </w:pPr>
            <w:r>
              <w:rPr>
                <w:rFonts w:ascii="Calibri" w:hAnsi="Calibri"/>
                <w:color w:val="000000"/>
                <w:lang w:val="fr-CA"/>
              </w:rPr>
              <w:t>Le Comité de grève de l’Institut est placé sous l’autorité du/de la président·e de l’Institut et n’a d’autres responsabilités que de planifier, d’organiser et de conduire une grève.</w:t>
            </w:r>
          </w:p>
          <w:p w14:paraId="7C85776B" w14:textId="77777777" w:rsidR="00622889" w:rsidRPr="00FF1DD7" w:rsidRDefault="00000000">
            <w:pPr>
              <w:numPr>
                <w:ilvl w:val="1"/>
                <w:numId w:val="8"/>
              </w:numPr>
              <w:pBdr>
                <w:top w:val="nil"/>
                <w:left w:val="nil"/>
                <w:bottom w:val="nil"/>
                <w:right w:val="nil"/>
                <w:between w:val="nil"/>
              </w:pBdr>
              <w:spacing w:line="276" w:lineRule="auto"/>
              <w:ind w:left="810"/>
              <w:rPr>
                <w:lang w:val="fr-CA"/>
              </w:rPr>
            </w:pPr>
            <w:r>
              <w:rPr>
                <w:rFonts w:ascii="Calibri" w:hAnsi="Calibri"/>
                <w:color w:val="000000"/>
                <w:lang w:val="fr-CA"/>
              </w:rPr>
              <w:t xml:space="preserve">La procédure à suivre, lors d’une grève, est conforme au </w:t>
            </w:r>
            <w:r>
              <w:rPr>
                <w:rFonts w:ascii="Calibri" w:hAnsi="Calibri"/>
                <w:i/>
                <w:iCs/>
                <w:color w:val="000000"/>
                <w:lang w:val="fr-CA"/>
              </w:rPr>
              <w:t>Manuel de grève</w:t>
            </w:r>
            <w:r>
              <w:rPr>
                <w:rFonts w:ascii="Calibri" w:hAnsi="Calibri"/>
                <w:color w:val="000000"/>
                <w:lang w:val="fr-CA"/>
              </w:rPr>
              <w:t xml:space="preserve"> de l’Institut.</w:t>
            </w:r>
          </w:p>
          <w:p w14:paraId="2743437A" w14:textId="6B49DA17" w:rsidR="00622889" w:rsidRPr="00FF1DD7" w:rsidRDefault="00000000">
            <w:pPr>
              <w:numPr>
                <w:ilvl w:val="1"/>
                <w:numId w:val="8"/>
              </w:numPr>
              <w:pBdr>
                <w:top w:val="nil"/>
                <w:left w:val="nil"/>
                <w:bottom w:val="nil"/>
                <w:right w:val="nil"/>
                <w:between w:val="nil"/>
              </w:pBdr>
              <w:spacing w:after="200" w:line="276" w:lineRule="auto"/>
              <w:ind w:left="810"/>
              <w:rPr>
                <w:lang w:val="fr-CA"/>
              </w:rPr>
            </w:pPr>
            <w:r>
              <w:rPr>
                <w:rFonts w:ascii="Calibri" w:hAnsi="Calibri"/>
                <w:color w:val="000000"/>
                <w:lang w:val="fr-CA"/>
              </w:rPr>
              <w:t>Les membres d’une unité de négociation qui se préparent à une grève ou qui en déclenchent une se font guider par le Comité de grève de l’Institut.</w:t>
            </w:r>
          </w:p>
          <w:p w14:paraId="5A805FAF" w14:textId="77777777" w:rsidR="00622889" w:rsidRPr="00FF1DD7" w:rsidRDefault="00000000">
            <w:pPr>
              <w:spacing w:before="120"/>
              <w:rPr>
                <w:lang w:val="fr-CA"/>
              </w:rPr>
            </w:pPr>
            <w:r>
              <w:rPr>
                <w:b/>
                <w:bCs/>
                <w:lang w:val="fr-CA"/>
              </w:rPr>
              <w:t>Lock-out ou manque temporaire de travail</w:t>
            </w:r>
          </w:p>
          <w:p w14:paraId="09E3978A" w14:textId="77777777" w:rsidR="00622889" w:rsidRPr="00FF1DD7" w:rsidRDefault="00000000">
            <w:pPr>
              <w:numPr>
                <w:ilvl w:val="0"/>
                <w:numId w:val="9"/>
              </w:numPr>
              <w:pBdr>
                <w:top w:val="nil"/>
                <w:left w:val="nil"/>
                <w:bottom w:val="nil"/>
                <w:right w:val="nil"/>
                <w:between w:val="nil"/>
              </w:pBdr>
              <w:spacing w:before="120" w:after="200" w:line="276" w:lineRule="auto"/>
              <w:ind w:left="360" w:hanging="360"/>
              <w:rPr>
                <w:lang w:val="fr-CA"/>
              </w:rPr>
            </w:pPr>
            <w:r>
              <w:rPr>
                <w:rFonts w:ascii="Calibri" w:hAnsi="Calibri"/>
                <w:color w:val="000000"/>
                <w:lang w:val="fr-CA"/>
              </w:rPr>
              <w:t>Lorsqu’un employeur est en position légale de mettre des membres d’une unité de négociation en lock-out, les dispositions sur les mesures de grève s’appliquent.</w:t>
            </w:r>
          </w:p>
          <w:p w14:paraId="7B39503D" w14:textId="77777777" w:rsidR="00622889" w:rsidRPr="00FF1DD7" w:rsidRDefault="00000000">
            <w:pPr>
              <w:spacing w:before="120"/>
              <w:rPr>
                <w:b/>
                <w:lang w:val="fr-CA"/>
              </w:rPr>
            </w:pPr>
            <w:r>
              <w:rPr>
                <w:b/>
                <w:bCs/>
                <w:lang w:val="fr-CA"/>
              </w:rPr>
              <w:t>Mesures prises par d’autres unités de négociation ou agents négociateurs dans un conflit de travail</w:t>
            </w:r>
          </w:p>
          <w:p w14:paraId="60C81C75" w14:textId="77777777" w:rsidR="00622889" w:rsidRPr="00FF1DD7" w:rsidRDefault="00000000">
            <w:pPr>
              <w:numPr>
                <w:ilvl w:val="0"/>
                <w:numId w:val="1"/>
              </w:numPr>
              <w:pBdr>
                <w:top w:val="nil"/>
                <w:left w:val="nil"/>
                <w:bottom w:val="nil"/>
                <w:right w:val="nil"/>
                <w:between w:val="nil"/>
              </w:pBdr>
              <w:spacing w:before="120" w:line="276" w:lineRule="auto"/>
              <w:ind w:left="360" w:hanging="360"/>
              <w:rPr>
                <w:lang w:val="fr-CA"/>
              </w:rPr>
            </w:pPr>
            <w:r>
              <w:rPr>
                <w:rFonts w:ascii="Calibri" w:hAnsi="Calibri"/>
                <w:color w:val="000000"/>
                <w:lang w:val="fr-CA"/>
              </w:rPr>
              <w:t>L’Institut fait tout son possible pour que les membres qui sont incapables de faire leur travail en raison d’un lock-out ou d’une grève déclenchée par d’autres unités de négociation ou agents négociateurs à leur lieu de travail n’accusent aucune perte de salaire ou d’avantages sociaux.</w:t>
            </w:r>
          </w:p>
          <w:p w14:paraId="77F8AEB5" w14:textId="77777777" w:rsidR="00622889" w:rsidRPr="00FF1DD7" w:rsidRDefault="00000000">
            <w:pPr>
              <w:numPr>
                <w:ilvl w:val="0"/>
                <w:numId w:val="1"/>
              </w:numPr>
              <w:pBdr>
                <w:top w:val="nil"/>
                <w:left w:val="nil"/>
                <w:bottom w:val="nil"/>
                <w:right w:val="nil"/>
                <w:between w:val="nil"/>
              </w:pBdr>
              <w:spacing w:line="276" w:lineRule="auto"/>
              <w:ind w:left="360" w:hanging="360"/>
              <w:rPr>
                <w:lang w:val="fr-CA"/>
              </w:rPr>
            </w:pPr>
            <w:r>
              <w:rPr>
                <w:rFonts w:ascii="Calibri" w:hAnsi="Calibri"/>
                <w:color w:val="000000"/>
                <w:lang w:val="fr-CA"/>
              </w:rPr>
              <w:t xml:space="preserve">L’Institut entreprend les démarches nécessaires pour protéger ses membres contre les menaces de suspension ou les mesures disciplinaires prises par l’employeur si ces membres décident de ne pas traverser les lignes de </w:t>
            </w:r>
            <w:r>
              <w:rPr>
                <w:rFonts w:ascii="Calibri" w:hAnsi="Calibri"/>
                <w:color w:val="000000"/>
                <w:lang w:val="fr-CA"/>
              </w:rPr>
              <w:lastRenderedPageBreak/>
              <w:t>piquetage des autres unités de négociations ou agents négociateurs au lieu de travail de l’employeur.</w:t>
            </w:r>
          </w:p>
          <w:p w14:paraId="1A535FC6" w14:textId="77777777" w:rsidR="00622889" w:rsidRPr="00FF1DD7" w:rsidRDefault="00000000">
            <w:pPr>
              <w:numPr>
                <w:ilvl w:val="0"/>
                <w:numId w:val="1"/>
              </w:numPr>
              <w:pBdr>
                <w:top w:val="nil"/>
                <w:left w:val="nil"/>
                <w:bottom w:val="nil"/>
                <w:right w:val="nil"/>
                <w:between w:val="nil"/>
              </w:pBdr>
              <w:spacing w:after="200" w:line="276" w:lineRule="auto"/>
              <w:ind w:left="360" w:hanging="360"/>
              <w:rPr>
                <w:lang w:val="fr-CA"/>
              </w:rPr>
            </w:pPr>
            <w:r>
              <w:rPr>
                <w:rFonts w:ascii="Calibri" w:hAnsi="Calibri"/>
                <w:color w:val="000000"/>
                <w:lang w:val="fr-CA"/>
              </w:rPr>
              <w:t>Les demandes d’appui à une grève légale par un autre agent négociateur sont évaluées par l’Institut au cas par cas.</w:t>
            </w:r>
          </w:p>
        </w:tc>
      </w:tr>
      <w:tr w:rsidR="00622889" w:rsidRPr="00F75222" w14:paraId="464F4738" w14:textId="77777777">
        <w:trPr>
          <w:cantSplit/>
        </w:trPr>
        <w:tc>
          <w:tcPr>
            <w:tcW w:w="2628" w:type="dxa"/>
          </w:tcPr>
          <w:p w14:paraId="6091DAA7" w14:textId="77777777" w:rsidR="00622889" w:rsidRPr="00FF1DD7"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lastRenderedPageBreak/>
              <w:t>Fonds de grève de l’Institut professionnel</w:t>
            </w:r>
          </w:p>
        </w:tc>
        <w:tc>
          <w:tcPr>
            <w:tcW w:w="7344" w:type="dxa"/>
          </w:tcPr>
          <w:p w14:paraId="567E2FBA" w14:textId="77777777" w:rsidR="00622889" w:rsidRPr="00FF1DD7" w:rsidRDefault="00000000">
            <w:pPr>
              <w:spacing w:before="120"/>
              <w:rPr>
                <w:b/>
                <w:lang w:val="fr-CA"/>
              </w:rPr>
            </w:pPr>
            <w:r>
              <w:rPr>
                <w:b/>
                <w:bCs/>
                <w:lang w:val="fr-CA"/>
              </w:rPr>
              <w:t>1. Gestion du fonds</w:t>
            </w:r>
          </w:p>
          <w:p w14:paraId="41F9E476" w14:textId="77777777" w:rsidR="00622889" w:rsidRPr="00FF1DD7" w:rsidRDefault="00000000">
            <w:pPr>
              <w:spacing w:before="120"/>
              <w:rPr>
                <w:lang w:val="fr-CA"/>
              </w:rPr>
            </w:pPr>
            <w:r>
              <w:rPr>
                <w:lang w:val="fr-CA"/>
              </w:rPr>
              <w:t>L’Institut établit les pratiques administratives appropriées pour assurer la saine gestion du fonds au profit des membres titulaires qui participent à des activités de grève. Ces activités comprennent, sans toutefois s’y limiter, la préparation des pancartes de grève, l’organisation d’activités de grève, l’augmentation des effectifs de l’Institut, les réunions de planification de la grève, les communications et les autres activités autorisées par le Comité de grève.</w:t>
            </w:r>
          </w:p>
          <w:p w14:paraId="2ABE604E" w14:textId="77777777" w:rsidR="00622889" w:rsidRPr="00FF1DD7" w:rsidRDefault="00000000">
            <w:pPr>
              <w:spacing w:before="120"/>
              <w:rPr>
                <w:b/>
                <w:lang w:val="fr-CA"/>
              </w:rPr>
            </w:pPr>
            <w:r>
              <w:rPr>
                <w:b/>
                <w:bCs/>
                <w:lang w:val="fr-CA"/>
              </w:rPr>
              <w:t>2. Financement</w:t>
            </w:r>
          </w:p>
          <w:p w14:paraId="64815737" w14:textId="77777777" w:rsidR="00622889" w:rsidRPr="00FF1DD7" w:rsidRDefault="00000000">
            <w:pPr>
              <w:spacing w:before="120"/>
              <w:rPr>
                <w:lang w:val="fr-CA"/>
              </w:rPr>
            </w:pPr>
            <w:r>
              <w:rPr>
                <w:lang w:val="fr-CA"/>
              </w:rPr>
              <w:t>Le fonds de grève est financé de la manière suivante :</w:t>
            </w:r>
          </w:p>
          <w:p w14:paraId="50FBD2BD" w14:textId="77777777" w:rsidR="00622889" w:rsidRPr="00FF1DD7" w:rsidRDefault="00000000">
            <w:pPr>
              <w:numPr>
                <w:ilvl w:val="0"/>
                <w:numId w:val="2"/>
              </w:numPr>
              <w:pBdr>
                <w:top w:val="nil"/>
                <w:left w:val="nil"/>
                <w:bottom w:val="nil"/>
                <w:right w:val="nil"/>
                <w:between w:val="nil"/>
              </w:pBdr>
              <w:spacing w:line="276" w:lineRule="auto"/>
              <w:ind w:left="360" w:hanging="360"/>
              <w:rPr>
                <w:lang w:val="fr-CA"/>
              </w:rPr>
            </w:pPr>
            <w:r>
              <w:rPr>
                <w:rFonts w:ascii="Calibri" w:hAnsi="Calibri"/>
                <w:color w:val="000000"/>
                <w:lang w:val="fr-CA"/>
              </w:rPr>
              <w:t>Prélèvement d’un montant par membre par mois, qui s’intègre aux cotisations mensuelles de base déterminées par l’assemblée générale annuelle;</w:t>
            </w:r>
          </w:p>
          <w:p w14:paraId="67D07CDE" w14:textId="77777777" w:rsidR="00622889" w:rsidRPr="00FF1DD7" w:rsidRDefault="00000000">
            <w:pPr>
              <w:numPr>
                <w:ilvl w:val="0"/>
                <w:numId w:val="2"/>
              </w:numPr>
              <w:pBdr>
                <w:top w:val="nil"/>
                <w:left w:val="nil"/>
                <w:bottom w:val="nil"/>
                <w:right w:val="nil"/>
                <w:between w:val="nil"/>
              </w:pBdr>
              <w:spacing w:after="200" w:line="276" w:lineRule="auto"/>
              <w:ind w:left="360" w:hanging="360"/>
              <w:rPr>
                <w:lang w:val="fr-CA"/>
              </w:rPr>
            </w:pPr>
            <w:r>
              <w:rPr>
                <w:rFonts w:ascii="Calibri" w:hAnsi="Calibri"/>
                <w:color w:val="000000"/>
                <w:lang w:val="fr-CA"/>
              </w:rPr>
              <w:t>À moins d’indication contraire par l’assemblée générale annuelle, tous les intérêts que rapporte le fonds sont versés directement au fonds de grève.</w:t>
            </w:r>
          </w:p>
          <w:p w14:paraId="4453332E" w14:textId="77777777" w:rsidR="00622889" w:rsidRDefault="00000000">
            <w:pPr>
              <w:spacing w:before="120"/>
              <w:rPr>
                <w:b/>
              </w:rPr>
            </w:pPr>
            <w:r>
              <w:rPr>
                <w:b/>
                <w:bCs/>
                <w:lang w:val="fr-CA"/>
              </w:rPr>
              <w:t>3. Débours</w:t>
            </w:r>
          </w:p>
          <w:p w14:paraId="46DF4015" w14:textId="77777777" w:rsidR="00622889" w:rsidRPr="00FF1DD7" w:rsidRDefault="00000000">
            <w:pPr>
              <w:numPr>
                <w:ilvl w:val="0"/>
                <w:numId w:val="3"/>
              </w:numPr>
              <w:pBdr>
                <w:top w:val="nil"/>
                <w:left w:val="nil"/>
                <w:bottom w:val="nil"/>
                <w:right w:val="nil"/>
                <w:between w:val="nil"/>
              </w:pBdr>
              <w:spacing w:before="120" w:line="276" w:lineRule="auto"/>
              <w:ind w:left="360" w:hanging="360"/>
              <w:rPr>
                <w:lang w:val="fr-CA"/>
              </w:rPr>
            </w:pPr>
            <w:r>
              <w:rPr>
                <w:rFonts w:ascii="Calibri" w:hAnsi="Calibri"/>
                <w:color w:val="000000"/>
                <w:lang w:val="fr-CA"/>
              </w:rPr>
              <w:t>Les membres titulaires à temps plein ou à temps partiel qui subissent une perte salariale attribuable exclusivement à leur participation à des activités de grève légale et autorisée pour une journée entière ou partielle reçoivent une indemnité de grève de 50 $ pour chaque journée de salaire perdu. Pour avoir droit à l’indemnité de grève, il est obligatoire de participer au piquetage.</w:t>
            </w:r>
          </w:p>
          <w:p w14:paraId="7DAA2D55" w14:textId="672645B7" w:rsidR="00622889" w:rsidRPr="00FF1DD7" w:rsidRDefault="00000000">
            <w:pPr>
              <w:numPr>
                <w:ilvl w:val="0"/>
                <w:numId w:val="3"/>
              </w:numPr>
              <w:pBdr>
                <w:top w:val="nil"/>
                <w:left w:val="nil"/>
                <w:bottom w:val="nil"/>
                <w:right w:val="nil"/>
                <w:between w:val="nil"/>
              </w:pBdr>
              <w:spacing w:line="276" w:lineRule="auto"/>
              <w:ind w:left="360" w:hanging="360"/>
              <w:rPr>
                <w:lang w:val="fr-CA"/>
              </w:rPr>
            </w:pPr>
            <w:r>
              <w:rPr>
                <w:rFonts w:ascii="Calibri" w:hAnsi="Calibri"/>
                <w:color w:val="000000"/>
                <w:lang w:val="fr-CA"/>
              </w:rPr>
              <w:t>Les activités de grève, dont les grèves sporadiques ou rotatives, auxquelles pas plus de 10 % des membres de l’unité de négociation participent, peuvent être financées en fonction des éléments suivants :</w:t>
            </w:r>
          </w:p>
          <w:p w14:paraId="049A0F91" w14:textId="45EB0241" w:rsidR="00622889" w:rsidRPr="00FF1DD7" w:rsidRDefault="00000000">
            <w:pPr>
              <w:numPr>
                <w:ilvl w:val="0"/>
                <w:numId w:val="4"/>
              </w:numPr>
              <w:pBdr>
                <w:top w:val="nil"/>
                <w:left w:val="nil"/>
                <w:bottom w:val="nil"/>
                <w:right w:val="nil"/>
                <w:between w:val="nil"/>
              </w:pBdr>
              <w:spacing w:line="276" w:lineRule="auto"/>
              <w:rPr>
                <w:lang w:val="fr-CA"/>
              </w:rPr>
            </w:pPr>
            <w:r>
              <w:rPr>
                <w:rFonts w:ascii="Calibri" w:hAnsi="Calibri"/>
                <w:color w:val="000000"/>
                <w:lang w:val="fr-CA"/>
              </w:rPr>
              <w:t>l’effectif du groupe au 31 décembre de l’année précédente;</w:t>
            </w:r>
          </w:p>
          <w:p w14:paraId="2553E08E" w14:textId="77777777" w:rsidR="00622889" w:rsidRPr="00FF1DD7" w:rsidRDefault="00000000">
            <w:pPr>
              <w:numPr>
                <w:ilvl w:val="0"/>
                <w:numId w:val="4"/>
              </w:numPr>
              <w:pBdr>
                <w:top w:val="nil"/>
                <w:left w:val="nil"/>
                <w:bottom w:val="nil"/>
                <w:right w:val="nil"/>
                <w:between w:val="nil"/>
              </w:pBdr>
              <w:spacing w:line="276" w:lineRule="auto"/>
              <w:rPr>
                <w:lang w:val="fr-CA"/>
              </w:rPr>
            </w:pPr>
            <w:r>
              <w:rPr>
                <w:rFonts w:ascii="Calibri" w:hAnsi="Calibri"/>
                <w:color w:val="000000"/>
                <w:lang w:val="fr-CA"/>
              </w:rPr>
              <w:t>les groupes ayant jusqu’à 200 membres : 15 000 $;</w:t>
            </w:r>
          </w:p>
          <w:p w14:paraId="1DDA67E0" w14:textId="77777777" w:rsidR="00622889" w:rsidRPr="00FF1DD7" w:rsidRDefault="00000000">
            <w:pPr>
              <w:numPr>
                <w:ilvl w:val="0"/>
                <w:numId w:val="4"/>
              </w:numPr>
              <w:pBdr>
                <w:top w:val="nil"/>
                <w:left w:val="nil"/>
                <w:bottom w:val="nil"/>
                <w:right w:val="nil"/>
                <w:between w:val="nil"/>
              </w:pBdr>
              <w:spacing w:line="276" w:lineRule="auto"/>
              <w:rPr>
                <w:lang w:val="fr-CA"/>
              </w:rPr>
            </w:pPr>
            <w:r>
              <w:rPr>
                <w:rFonts w:ascii="Calibri" w:hAnsi="Calibri"/>
                <w:color w:val="000000"/>
                <w:lang w:val="fr-CA"/>
              </w:rPr>
              <w:t>les groupes ayant au moins 201 membres : 80 $ par membre par groupe;</w:t>
            </w:r>
          </w:p>
          <w:p w14:paraId="5ECFD05E" w14:textId="77777777" w:rsidR="00622889" w:rsidRPr="00FF1DD7" w:rsidRDefault="00000000">
            <w:pPr>
              <w:numPr>
                <w:ilvl w:val="0"/>
                <w:numId w:val="4"/>
              </w:numPr>
              <w:pBdr>
                <w:top w:val="nil"/>
                <w:left w:val="nil"/>
                <w:bottom w:val="nil"/>
                <w:right w:val="nil"/>
                <w:between w:val="nil"/>
              </w:pBdr>
              <w:spacing w:line="276" w:lineRule="auto"/>
              <w:rPr>
                <w:lang w:val="fr-CA"/>
              </w:rPr>
            </w:pPr>
            <w:r>
              <w:rPr>
                <w:rFonts w:ascii="Calibri" w:hAnsi="Calibri"/>
                <w:color w:val="000000"/>
                <w:lang w:val="fr-CA"/>
              </w:rPr>
              <w:t>Des montants supplémentaires peuvent être accordés à la discrétion du Conseil d’administration.</w:t>
            </w:r>
          </w:p>
          <w:p w14:paraId="657997BD" w14:textId="77777777" w:rsidR="00622889" w:rsidRPr="00FF1DD7" w:rsidRDefault="00000000">
            <w:pPr>
              <w:numPr>
                <w:ilvl w:val="0"/>
                <w:numId w:val="3"/>
              </w:numPr>
              <w:pBdr>
                <w:top w:val="nil"/>
                <w:left w:val="nil"/>
                <w:bottom w:val="nil"/>
                <w:right w:val="nil"/>
                <w:between w:val="nil"/>
              </w:pBdr>
              <w:spacing w:after="200" w:line="276" w:lineRule="auto"/>
              <w:ind w:left="360" w:hanging="360"/>
              <w:rPr>
                <w:lang w:val="fr-CA"/>
              </w:rPr>
            </w:pPr>
            <w:r>
              <w:rPr>
                <w:rFonts w:ascii="Calibri" w:hAnsi="Calibri"/>
                <w:color w:val="000000"/>
                <w:lang w:val="fr-CA"/>
              </w:rPr>
              <w:t>Si des fonds sont avancés, la partie non utilisée de ces fonds est remise dans le fonds de grève dans les 90 jours qui suivent la fin des activités de grève légales, accompagnée du relevé détaillé des débours correspondant à ces activités.</w:t>
            </w:r>
          </w:p>
          <w:p w14:paraId="04BF1597" w14:textId="77777777" w:rsidR="00622889" w:rsidRPr="00FF1DD7" w:rsidRDefault="00000000">
            <w:pPr>
              <w:spacing w:before="120"/>
              <w:rPr>
                <w:b/>
                <w:lang w:val="fr-CA"/>
              </w:rPr>
            </w:pPr>
            <w:r>
              <w:rPr>
                <w:b/>
                <w:bCs/>
                <w:lang w:val="fr-CA"/>
              </w:rPr>
              <w:t>4. Demandes d’indemnisation</w:t>
            </w:r>
          </w:p>
          <w:p w14:paraId="31ABF2DC" w14:textId="77777777" w:rsidR="00622889" w:rsidRPr="00FF1DD7" w:rsidRDefault="00000000">
            <w:pPr>
              <w:spacing w:before="120"/>
              <w:rPr>
                <w:lang w:val="fr-CA"/>
              </w:rPr>
            </w:pPr>
            <w:r>
              <w:rPr>
                <w:lang w:val="fr-CA"/>
              </w:rPr>
              <w:t>L’indemnité de grève n’est versée qu’aux membres qui participent à des activités de grève légales et autorisées par le Comité de grève.</w:t>
            </w:r>
          </w:p>
          <w:p w14:paraId="2C90B3D2" w14:textId="335BB85D" w:rsidR="00622889" w:rsidRPr="00FF1DD7" w:rsidRDefault="00F979D2">
            <w:pPr>
              <w:spacing w:before="120"/>
              <w:rPr>
                <w:lang w:val="fr-CA"/>
              </w:rPr>
            </w:pPr>
            <w:r w:rsidRPr="00F979D2">
              <w:rPr>
                <w:lang w:val="fr-CA"/>
              </w:rPr>
              <w:lastRenderedPageBreak/>
              <w:t>Une demande d’indemnité de grève accompagnée d’un talon de paye et d’un formulaire signé par le/la chef de grève doit être présentée dans les 90 jours suivant la date de réception d’un talon de paye indiquant une perte salariale causée par une activité de grève.</w:t>
            </w:r>
          </w:p>
        </w:tc>
      </w:tr>
      <w:tr w:rsidR="00622889" w14:paraId="214FE0C9" w14:textId="77777777">
        <w:trPr>
          <w:cantSplit/>
        </w:trPr>
        <w:tc>
          <w:tcPr>
            <w:tcW w:w="2628" w:type="dxa"/>
          </w:tcPr>
          <w:p w14:paraId="6A6C1791" w14:textId="77777777" w:rsidR="00622889" w:rsidRDefault="00000000">
            <w:pPr>
              <w:numPr>
                <w:ilvl w:val="0"/>
                <w:numId w:val="6"/>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bCs/>
                <w:color w:val="000000"/>
                <w:sz w:val="24"/>
                <w:szCs w:val="24"/>
                <w:lang w:val="fr-CA"/>
              </w:rPr>
              <w:lastRenderedPageBreak/>
              <w:t>Références</w:t>
            </w:r>
          </w:p>
        </w:tc>
        <w:tc>
          <w:tcPr>
            <w:tcW w:w="7344" w:type="dxa"/>
          </w:tcPr>
          <w:p w14:paraId="4FD108EA" w14:textId="77777777" w:rsidR="00622889" w:rsidRDefault="00622889">
            <w:pPr>
              <w:spacing w:before="120"/>
            </w:pPr>
          </w:p>
        </w:tc>
      </w:tr>
    </w:tbl>
    <w:p w14:paraId="106F4874" w14:textId="77777777" w:rsidR="00622889" w:rsidRDefault="00622889">
      <w:pPr>
        <w:spacing w:line="240" w:lineRule="auto"/>
        <w:rPr>
          <w:sz w:val="24"/>
          <w:szCs w:val="24"/>
        </w:rPr>
      </w:pPr>
    </w:p>
    <w:sectPr w:rsidR="0062288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EE124" w14:textId="77777777" w:rsidR="00AE5196" w:rsidRDefault="00AE5196">
      <w:pPr>
        <w:spacing w:after="0" w:line="240" w:lineRule="auto"/>
      </w:pPr>
      <w:r>
        <w:separator/>
      </w:r>
    </w:p>
  </w:endnote>
  <w:endnote w:type="continuationSeparator" w:id="0">
    <w:p w14:paraId="5DFEDDDC" w14:textId="77777777" w:rsidR="00AE5196" w:rsidRDefault="00AE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0457D33-4096-4348-B2F7-BAEE6E1A76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7EE4FD-5504-4917-B53D-5D4B33DAA299}"/>
    <w:embedBold r:id="rId3" w:fontKey="{0EA90C43-6C9A-4BE2-8BB9-6D912EF5AE8D}"/>
    <w:embedItalic r:id="rId4" w:fontKey="{326B16C8-70DA-476A-8F0C-DDB22A4A77C6}"/>
    <w:embedBoldItalic r:id="rId5" w:fontKey="{E96C6D49-537C-4F73-925C-BC86C79AAF7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B16FEF6A-46E0-4EC0-86BB-A51BDBFE08C3}"/>
  </w:font>
  <w:font w:name="Georgia">
    <w:panose1 w:val="02040502050405020303"/>
    <w:charset w:val="00"/>
    <w:family w:val="roman"/>
    <w:pitch w:val="variable"/>
    <w:sig w:usb0="00000287" w:usb1="00000000" w:usb2="00000000" w:usb3="00000000" w:csb0="0000009F" w:csb1="00000000"/>
    <w:embedRegular r:id="rId7" w:fontKey="{5F6FBBE1-7010-4702-82FA-60B755C88124}"/>
    <w:embedItalic r:id="rId8" w:fontKey="{F828D4D7-1740-4215-B2C6-AEDF480136C7}"/>
  </w:font>
  <w:font w:name="Cambria">
    <w:panose1 w:val="02040503050406030204"/>
    <w:charset w:val="00"/>
    <w:family w:val="roman"/>
    <w:pitch w:val="variable"/>
    <w:sig w:usb0="E00006FF" w:usb1="420024FF" w:usb2="02000000" w:usb3="00000000" w:csb0="0000019F" w:csb1="00000000"/>
    <w:embedRegular r:id="rId9" w:fontKey="{E98F2DA5-936F-46B7-AFB5-0EB4412519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185B" w14:textId="77777777" w:rsidR="00F979D2" w:rsidRDefault="00F97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F850" w14:textId="77777777" w:rsidR="00622889" w:rsidRPr="00FF1DD7" w:rsidRDefault="00000000">
    <w:pPr>
      <w:pBdr>
        <w:top w:val="nil"/>
        <w:left w:val="nil"/>
        <w:bottom w:val="nil"/>
        <w:right w:val="nil"/>
        <w:between w:val="nil"/>
      </w:pBdr>
      <w:tabs>
        <w:tab w:val="center" w:pos="4680"/>
        <w:tab w:val="right" w:pos="9360"/>
      </w:tabs>
      <w:spacing w:after="0" w:line="240" w:lineRule="auto"/>
      <w:rPr>
        <w:rFonts w:ascii="Calibri" w:hAnsi="Calibri"/>
        <w:color w:val="000000"/>
        <w:sz w:val="20"/>
        <w:szCs w:val="20"/>
        <w:lang w:val="fr-CA"/>
      </w:rPr>
    </w:pPr>
    <w:r>
      <w:rPr>
        <w:rFonts w:ascii="Calibri" w:hAnsi="Calibri"/>
        <w:color w:val="000000"/>
        <w:sz w:val="20"/>
        <w:szCs w:val="20"/>
        <w:lang w:val="fr-CA"/>
      </w:rPr>
      <w:t>Manuel des politiques du Conseil d’administration</w:t>
    </w:r>
    <w:r>
      <w:rPr>
        <w:rFonts w:ascii="Calibri" w:hAnsi="Calibri"/>
        <w:color w:val="000000"/>
        <w:sz w:val="20"/>
        <w:szCs w:val="20"/>
        <w:lang w:val="fr-CA"/>
      </w:rPr>
      <w:tab/>
    </w:r>
    <w:r>
      <w:rPr>
        <w:rFonts w:ascii="Calibri" w:hAnsi="Calibri"/>
        <w:color w:val="000000"/>
        <w:sz w:val="20"/>
        <w:szCs w:val="20"/>
        <w:lang w:val="fr-CA"/>
      </w:rPr>
      <w:tab/>
    </w:r>
    <w:r>
      <w:rPr>
        <w:rFonts w:ascii="Calibri" w:hAnsi="Calibri"/>
        <w:color w:val="7F7F7F"/>
        <w:sz w:val="20"/>
        <w:szCs w:val="20"/>
        <w:lang w:val="fr-CA"/>
      </w:rPr>
      <w:t>Page</w:t>
    </w:r>
    <w:r>
      <w:rPr>
        <w:rFonts w:ascii="Calibri" w:hAnsi="Calibri"/>
        <w:color w:val="000000"/>
        <w:sz w:val="20"/>
        <w:szCs w:val="20"/>
        <w:lang w:val="fr-CA"/>
      </w:rPr>
      <w:t xml:space="preserve"> | </w:t>
    </w:r>
    <w:r>
      <w:rPr>
        <w:rFonts w:ascii="Calibri" w:hAnsi="Calibri"/>
        <w:color w:val="000000"/>
        <w:sz w:val="20"/>
        <w:szCs w:val="20"/>
        <w:lang w:val="fr-CA"/>
      </w:rPr>
      <w:fldChar w:fldCharType="begin"/>
    </w:r>
    <w:r>
      <w:rPr>
        <w:rFonts w:ascii="Calibri" w:hAnsi="Calibri"/>
        <w:color w:val="000000"/>
        <w:sz w:val="20"/>
        <w:szCs w:val="20"/>
        <w:lang w:val="fr-CA"/>
      </w:rPr>
      <w:instrText>PAGE</w:instrText>
    </w:r>
    <w:r>
      <w:rPr>
        <w:rFonts w:ascii="Calibri" w:hAnsi="Calibri"/>
        <w:color w:val="000000"/>
        <w:sz w:val="20"/>
        <w:szCs w:val="20"/>
        <w:lang w:val="fr-CA"/>
      </w:rPr>
      <w:fldChar w:fldCharType="separate"/>
    </w:r>
    <w:r>
      <w:rPr>
        <w:rFonts w:ascii="Calibri" w:hAnsi="Calibri"/>
        <w:noProof/>
        <w:color w:val="000000"/>
        <w:sz w:val="20"/>
        <w:szCs w:val="20"/>
        <w:lang w:val="fr-CA"/>
      </w:rPr>
      <w:t>1</w:t>
    </w:r>
    <w:r>
      <w:rPr>
        <w:rFonts w:ascii="Calibri" w:hAnsi="Calibri"/>
        <w:color w:val="000000"/>
        <w:sz w:val="20"/>
        <w:szCs w:val="20"/>
        <w:lang w:val="fr-CA"/>
      </w:rPr>
      <w:fldChar w:fldCharType="end"/>
    </w:r>
    <w:r>
      <w:rPr>
        <w:rFonts w:ascii="Calibri" w:hAnsi="Calibri"/>
        <w:color w:val="000000"/>
        <w:sz w:val="20"/>
        <w:szCs w:val="20"/>
        <w:lang w:val="fr-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1A69" w14:textId="77777777" w:rsidR="00622889" w:rsidRPr="00FF1DD7" w:rsidRDefault="00000000">
    <w:pPr>
      <w:pBdr>
        <w:top w:val="nil"/>
        <w:left w:val="nil"/>
        <w:bottom w:val="nil"/>
        <w:right w:val="nil"/>
        <w:between w:val="nil"/>
      </w:pBdr>
      <w:tabs>
        <w:tab w:val="center" w:pos="4680"/>
        <w:tab w:val="right" w:pos="9360"/>
      </w:tabs>
      <w:spacing w:after="0" w:line="240" w:lineRule="auto"/>
      <w:rPr>
        <w:rFonts w:ascii="Calibri" w:hAnsi="Calibri"/>
        <w:color w:val="000000"/>
        <w:sz w:val="20"/>
        <w:szCs w:val="20"/>
        <w:lang w:val="fr-CA"/>
      </w:rPr>
    </w:pPr>
    <w:r>
      <w:rPr>
        <w:rFonts w:ascii="Calibri" w:hAnsi="Calibri"/>
        <w:color w:val="000000"/>
        <w:sz w:val="20"/>
        <w:szCs w:val="20"/>
        <w:lang w:val="fr-CA"/>
      </w:rPr>
      <w:t>Manuel des politiques du Conseil d’administration</w:t>
    </w:r>
    <w:r>
      <w:rPr>
        <w:rFonts w:ascii="Calibri" w:hAnsi="Calibri"/>
        <w:color w:val="000000"/>
        <w:sz w:val="20"/>
        <w:szCs w:val="20"/>
        <w:lang w:val="fr-CA"/>
      </w:rPr>
      <w:tab/>
    </w:r>
    <w:r>
      <w:rPr>
        <w:rFonts w:ascii="Calibri" w:hAnsi="Calibri"/>
        <w:color w:val="000000"/>
        <w:sz w:val="20"/>
        <w:szCs w:val="20"/>
        <w:lang w:val="fr-CA"/>
      </w:rPr>
      <w:tab/>
    </w:r>
    <w:r>
      <w:rPr>
        <w:rFonts w:ascii="Calibri" w:hAnsi="Calibri"/>
        <w:color w:val="7F7F7F"/>
        <w:sz w:val="20"/>
        <w:szCs w:val="20"/>
        <w:lang w:val="fr-CA"/>
      </w:rPr>
      <w:t>Page</w:t>
    </w:r>
    <w:r>
      <w:rPr>
        <w:rFonts w:ascii="Calibri" w:hAnsi="Calibri"/>
        <w:color w:val="000000"/>
        <w:sz w:val="20"/>
        <w:szCs w:val="20"/>
        <w:lang w:val="fr-CA"/>
      </w:rPr>
      <w:t xml:space="preserve"> | </w:t>
    </w:r>
    <w:r>
      <w:rPr>
        <w:rFonts w:ascii="Calibri" w:hAnsi="Calibri"/>
        <w:color w:val="000000"/>
        <w:sz w:val="20"/>
        <w:szCs w:val="20"/>
        <w:lang w:val="fr-CA"/>
      </w:rPr>
      <w:fldChar w:fldCharType="begin"/>
    </w:r>
    <w:r>
      <w:rPr>
        <w:rFonts w:ascii="Calibri" w:hAnsi="Calibri"/>
        <w:color w:val="000000"/>
        <w:sz w:val="20"/>
        <w:szCs w:val="20"/>
        <w:lang w:val="fr-CA"/>
      </w:rPr>
      <w:instrText>PAGE</w:instrText>
    </w:r>
    <w:r>
      <w:rPr>
        <w:rFonts w:ascii="Calibri" w:hAnsi="Calibri"/>
        <w:color w:val="000000"/>
        <w:sz w:val="20"/>
        <w:szCs w:val="20"/>
        <w:lang w:val="fr-CA"/>
      </w:rPr>
      <w:fldChar w:fldCharType="separate"/>
    </w:r>
    <w:r>
      <w:rPr>
        <w:rFonts w:ascii="Calibri" w:hAnsi="Calibri"/>
        <w:color w:val="000000"/>
        <w:sz w:val="20"/>
        <w:szCs w:val="20"/>
        <w:lang w:val="fr-CA"/>
      </w:rPr>
      <w:fldChar w:fldCharType="end"/>
    </w:r>
    <w:r>
      <w:rPr>
        <w:rFonts w:ascii="Calibri" w:hAnsi="Calibri"/>
        <w:color w:val="000000"/>
        <w:sz w:val="20"/>
        <w:szCs w:val="20"/>
        <w:lang w:val="fr-CA"/>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B0D5" w14:textId="77777777" w:rsidR="00AE5196" w:rsidRDefault="00AE5196">
      <w:pPr>
        <w:spacing w:after="0" w:line="240" w:lineRule="auto"/>
      </w:pPr>
      <w:r>
        <w:separator/>
      </w:r>
    </w:p>
  </w:footnote>
  <w:footnote w:type="continuationSeparator" w:id="0">
    <w:p w14:paraId="739F4CF1" w14:textId="77777777" w:rsidR="00AE5196" w:rsidRDefault="00AE5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3A42" w14:textId="77777777" w:rsidR="00F979D2" w:rsidRDefault="00F97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ED9F" w14:textId="77777777" w:rsidR="00622889" w:rsidRDefault="00000000">
    <w:pPr>
      <w:pBdr>
        <w:top w:val="nil"/>
        <w:left w:val="nil"/>
        <w:bottom w:val="nil"/>
        <w:right w:val="nil"/>
        <w:between w:val="nil"/>
      </w:pBdr>
      <w:tabs>
        <w:tab w:val="center" w:pos="4680"/>
        <w:tab w:val="right" w:pos="9360"/>
      </w:tabs>
      <w:spacing w:after="0" w:line="240" w:lineRule="auto"/>
      <w:rPr>
        <w:rFonts w:ascii="Calibri" w:hAnsi="Calibri"/>
        <w:color w:val="000000"/>
      </w:rPr>
    </w:pPr>
    <w:r>
      <w:rPr>
        <w:rFonts w:ascii="Calibri" w:hAnsi="Calibri"/>
        <w:noProof/>
        <w:color w:val="000000"/>
        <w:lang w:val="fr-CA"/>
      </w:rPr>
      <w:drawing>
        <wp:inline distT="0" distB="0" distL="0" distR="0" wp14:anchorId="0D5B41C6" wp14:editId="00F70121">
          <wp:extent cx="4242879" cy="74658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42879" cy="746584"/>
                  </a:xfrm>
                  <a:prstGeom prst="rect">
                    <a:avLst/>
                  </a:prstGeom>
                  <a:ln/>
                </pic:spPr>
              </pic:pic>
            </a:graphicData>
          </a:graphic>
        </wp:inline>
      </w:drawing>
    </w:r>
  </w:p>
  <w:p w14:paraId="33C8B72B" w14:textId="77777777" w:rsidR="00622889" w:rsidRDefault="00622889">
    <w:pPr>
      <w:pBdr>
        <w:top w:val="nil"/>
        <w:left w:val="nil"/>
        <w:bottom w:val="nil"/>
        <w:right w:val="nil"/>
        <w:between w:val="nil"/>
      </w:pBdr>
      <w:tabs>
        <w:tab w:val="center" w:pos="4680"/>
        <w:tab w:val="right" w:pos="9360"/>
      </w:tabs>
      <w:spacing w:after="0" w:line="240" w:lineRule="auto"/>
      <w:rPr>
        <w:rFonts w:ascii="Calibri" w:hAnsi="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CDC3" w14:textId="77777777" w:rsidR="00F979D2" w:rsidRDefault="00F97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15448"/>
    <w:multiLevelType w:val="multilevel"/>
    <w:tmpl w:val="0EC28B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3A52C11"/>
    <w:multiLevelType w:val="multilevel"/>
    <w:tmpl w:val="6EF66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A3B40"/>
    <w:multiLevelType w:val="multilevel"/>
    <w:tmpl w:val="8F0C50A8"/>
    <w:lvl w:ilvl="0">
      <w:start w:val="1"/>
      <w:numFmt w:val="decimal"/>
      <w:lvlText w:val="%1."/>
      <w:lvlJc w:val="left"/>
      <w:pPr>
        <w:ind w:left="1080" w:hanging="72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70388F"/>
    <w:multiLevelType w:val="multilevel"/>
    <w:tmpl w:val="EA405404"/>
    <w:lvl w:ilvl="0">
      <w:start w:val="1"/>
      <w:numFmt w:val="decimal"/>
      <w:lvlText w:val="%1."/>
      <w:lvlJc w:val="left"/>
      <w:pPr>
        <w:ind w:left="1080" w:hanging="72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A34E68"/>
    <w:multiLevelType w:val="multilevel"/>
    <w:tmpl w:val="887A38E8"/>
    <w:lvl w:ilvl="0">
      <w:start w:val="1"/>
      <w:numFmt w:val="decimal"/>
      <w:lvlText w:val="%1."/>
      <w:lvlJc w:val="left"/>
      <w:pPr>
        <w:ind w:left="1080" w:hanging="72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6B3004E"/>
    <w:multiLevelType w:val="multilevel"/>
    <w:tmpl w:val="CAAA5FA0"/>
    <w:lvl w:ilvl="0">
      <w:start w:val="1"/>
      <w:numFmt w:val="decimal"/>
      <w:lvlText w:val="%1."/>
      <w:lvlJc w:val="left"/>
      <w:pPr>
        <w:ind w:left="1080" w:hanging="72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D027CE"/>
    <w:multiLevelType w:val="multilevel"/>
    <w:tmpl w:val="9F8E7A6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816D16"/>
    <w:multiLevelType w:val="multilevel"/>
    <w:tmpl w:val="515EE614"/>
    <w:lvl w:ilvl="0">
      <w:start w:val="1"/>
      <w:numFmt w:val="decimal"/>
      <w:lvlText w:val="%1."/>
      <w:lvlJc w:val="left"/>
      <w:pPr>
        <w:ind w:left="1080" w:hanging="72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EF4360C"/>
    <w:multiLevelType w:val="multilevel"/>
    <w:tmpl w:val="6984861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386878830">
    <w:abstractNumId w:val="4"/>
  </w:num>
  <w:num w:numId="2" w16cid:durableId="555093885">
    <w:abstractNumId w:val="7"/>
  </w:num>
  <w:num w:numId="3" w16cid:durableId="286662323">
    <w:abstractNumId w:val="2"/>
  </w:num>
  <w:num w:numId="4" w16cid:durableId="367682075">
    <w:abstractNumId w:val="8"/>
  </w:num>
  <w:num w:numId="5" w16cid:durableId="691036464">
    <w:abstractNumId w:val="1"/>
  </w:num>
  <w:num w:numId="6" w16cid:durableId="1736858094">
    <w:abstractNumId w:val="0"/>
  </w:num>
  <w:num w:numId="7" w16cid:durableId="973022544">
    <w:abstractNumId w:val="6"/>
  </w:num>
  <w:num w:numId="8" w16cid:durableId="1476994066">
    <w:abstractNumId w:val="5"/>
  </w:num>
  <w:num w:numId="9" w16cid:durableId="1759476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889"/>
    <w:rsid w:val="00027AF0"/>
    <w:rsid w:val="000961CD"/>
    <w:rsid w:val="001158EF"/>
    <w:rsid w:val="001616C1"/>
    <w:rsid w:val="002C7545"/>
    <w:rsid w:val="0044342D"/>
    <w:rsid w:val="004C35F6"/>
    <w:rsid w:val="004F0992"/>
    <w:rsid w:val="00526C8E"/>
    <w:rsid w:val="00622889"/>
    <w:rsid w:val="006E1DC6"/>
    <w:rsid w:val="00713B9E"/>
    <w:rsid w:val="00775141"/>
    <w:rsid w:val="007967D1"/>
    <w:rsid w:val="00855663"/>
    <w:rsid w:val="008F5EBA"/>
    <w:rsid w:val="00975B71"/>
    <w:rsid w:val="00AA0F8F"/>
    <w:rsid w:val="00AE5196"/>
    <w:rsid w:val="00C0078C"/>
    <w:rsid w:val="00C7125A"/>
    <w:rsid w:val="00D35678"/>
    <w:rsid w:val="00DA30B9"/>
    <w:rsid w:val="00F75222"/>
    <w:rsid w:val="00F92129"/>
    <w:rsid w:val="00F979D2"/>
    <w:rsid w:val="00FE12D9"/>
    <w:rsid w:val="00FF1D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591A4"/>
  <w15:docId w15:val="{0AD3B2C4-1FDC-4F94-9403-0FE871BE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6B7"/>
    <w:rPr>
      <w:rFonts w:asciiTheme="minorHAnsi" w:hAnsiTheme="minorHAns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97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DBB"/>
    <w:rPr>
      <w:rFonts w:ascii="Tahoma" w:hAnsi="Tahoma" w:cs="Tahoma"/>
      <w:sz w:val="16"/>
      <w:szCs w:val="16"/>
    </w:rPr>
  </w:style>
  <w:style w:type="paragraph" w:styleId="Header">
    <w:name w:val="header"/>
    <w:basedOn w:val="Normal"/>
    <w:link w:val="HeaderChar"/>
    <w:uiPriority w:val="99"/>
    <w:unhideWhenUsed/>
    <w:rsid w:val="001C6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CC8"/>
  </w:style>
  <w:style w:type="paragraph" w:styleId="Footer">
    <w:name w:val="footer"/>
    <w:basedOn w:val="Normal"/>
    <w:link w:val="FooterChar"/>
    <w:uiPriority w:val="99"/>
    <w:unhideWhenUsed/>
    <w:rsid w:val="001C6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CC8"/>
  </w:style>
  <w:style w:type="paragraph" w:styleId="ListParagraph">
    <w:name w:val="List Paragraph"/>
    <w:basedOn w:val="Normal"/>
    <w:uiPriority w:val="34"/>
    <w:qFormat/>
    <w:rsid w:val="005A42AA"/>
    <w:pPr>
      <w:ind w:left="720"/>
      <w:contextualSpacing/>
    </w:pPr>
  </w:style>
  <w:style w:type="table" w:styleId="TableGrid">
    <w:name w:val="Table Grid"/>
    <w:basedOn w:val="TableNormal"/>
    <w:uiPriority w:val="59"/>
    <w:rsid w:val="00014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F76B7"/>
    <w:rPr>
      <w:b/>
      <w:bCs/>
    </w:rPr>
  </w:style>
  <w:style w:type="paragraph" w:styleId="TOC1">
    <w:name w:val="toc 1"/>
    <w:basedOn w:val="Normal"/>
    <w:next w:val="Normal"/>
    <w:autoRedefine/>
    <w:uiPriority w:val="39"/>
    <w:unhideWhenUsed/>
    <w:rsid w:val="009F76B7"/>
    <w:pPr>
      <w:spacing w:after="100"/>
    </w:pPr>
  </w:style>
  <w:style w:type="paragraph" w:styleId="TOC2">
    <w:name w:val="toc 2"/>
    <w:basedOn w:val="Normal"/>
    <w:next w:val="Normal"/>
    <w:autoRedefine/>
    <w:uiPriority w:val="39"/>
    <w:unhideWhenUsed/>
    <w:rsid w:val="009F76B7"/>
    <w:pPr>
      <w:spacing w:after="100"/>
      <w:ind w:left="220"/>
    </w:pPr>
  </w:style>
  <w:style w:type="character" w:styleId="Hyperlink">
    <w:name w:val="Hyperlink"/>
    <w:basedOn w:val="DefaultParagraphFont"/>
    <w:uiPriority w:val="99"/>
    <w:unhideWhenUsed/>
    <w:rsid w:val="009F76B7"/>
    <w:rPr>
      <w:color w:val="0000FF" w:themeColor="hyperlink"/>
      <w:u w:val="single"/>
    </w:rPr>
  </w:style>
  <w:style w:type="paragraph" w:styleId="NormalWeb">
    <w:name w:val="Normal (Web)"/>
    <w:basedOn w:val="Normal"/>
    <w:uiPriority w:val="99"/>
    <w:semiHidden/>
    <w:unhideWhenUsed/>
    <w:rsid w:val="00E92973"/>
    <w:pPr>
      <w:spacing w:before="100" w:beforeAutospacing="1" w:after="100" w:afterAutospacing="1" w:line="240" w:lineRule="auto"/>
    </w:pPr>
    <w:rPr>
      <w:rFonts w:ascii="Times New Roman" w:eastAsiaTheme="minorEastAsia" w:hAnsi="Times New Roman" w:cs="Times New Roman"/>
      <w:sz w:val="24"/>
    </w:rPr>
  </w:style>
  <w:style w:type="character" w:styleId="CommentReference">
    <w:name w:val="annotation reference"/>
    <w:basedOn w:val="DefaultParagraphFont"/>
    <w:uiPriority w:val="99"/>
    <w:semiHidden/>
    <w:unhideWhenUsed/>
    <w:rsid w:val="00E8690F"/>
    <w:rPr>
      <w:sz w:val="16"/>
      <w:szCs w:val="16"/>
    </w:rPr>
  </w:style>
  <w:style w:type="paragraph" w:styleId="CommentText">
    <w:name w:val="annotation text"/>
    <w:basedOn w:val="Normal"/>
    <w:link w:val="CommentTextChar"/>
    <w:uiPriority w:val="99"/>
    <w:semiHidden/>
    <w:unhideWhenUsed/>
    <w:rsid w:val="00E8690F"/>
    <w:pPr>
      <w:spacing w:line="240" w:lineRule="auto"/>
    </w:pPr>
    <w:rPr>
      <w:sz w:val="20"/>
      <w:szCs w:val="20"/>
    </w:rPr>
  </w:style>
  <w:style w:type="character" w:customStyle="1" w:styleId="CommentTextChar">
    <w:name w:val="Comment Text Char"/>
    <w:basedOn w:val="DefaultParagraphFont"/>
    <w:link w:val="CommentText"/>
    <w:uiPriority w:val="99"/>
    <w:semiHidden/>
    <w:rsid w:val="00E8690F"/>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E8690F"/>
    <w:rPr>
      <w:b/>
      <w:bCs/>
    </w:rPr>
  </w:style>
  <w:style w:type="character" w:customStyle="1" w:styleId="CommentSubjectChar">
    <w:name w:val="Comment Subject Char"/>
    <w:basedOn w:val="CommentTextChar"/>
    <w:link w:val="CommentSubject"/>
    <w:uiPriority w:val="99"/>
    <w:semiHidden/>
    <w:rsid w:val="00E8690F"/>
    <w:rPr>
      <w:rFonts w:asciiTheme="minorHAnsi" w:hAnsiTheme="minorHAns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0">
    <w:basedOn w:val="TableNormal"/>
    <w:pPr>
      <w:spacing w:after="0" w:line="240" w:lineRule="auto"/>
    </w:pPr>
    <w:tblPr>
      <w:tblStyleRowBandSize w:val="1"/>
      <w:tblStyleColBandSize w:val="1"/>
      <w:tblCellMar>
        <w:left w:w="72" w:type="dxa"/>
        <w:bottom w:w="101"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3nSUQkQLZAKI3NugPXnDTupAvdw==">CgMxLjAyCGguZ2pkZ3hzMgloLjMwajB6bGw4AHIhMVpYcGRTSGNNV2hkWnpFaUdUdFFkQ1FBbmVaLUNma3Yx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1141</Words>
  <Characters>6510</Characters>
  <Application>Microsoft Office Word</Application>
  <DocSecurity>0</DocSecurity>
  <Lines>54</Lines>
  <Paragraphs>15</Paragraphs>
  <ScaleCrop>false</ScaleCrop>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Boyer</dc:creator>
  <cp:lastModifiedBy>Tony Goddard</cp:lastModifiedBy>
  <cp:revision>18</cp:revision>
  <dcterms:created xsi:type="dcterms:W3CDTF">2023-04-04T18:34:00Z</dcterms:created>
  <dcterms:modified xsi:type="dcterms:W3CDTF">2025-05-06T20:49:00Z</dcterms:modified>
</cp:coreProperties>
</file>