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5BAA" w14:textId="77777777" w:rsidR="00F520C3" w:rsidRDefault="00000000">
      <w:pPr>
        <w:spacing w:before="240" w:after="120"/>
        <w:jc w:val="center"/>
        <w:rPr>
          <w:b/>
          <w:sz w:val="28"/>
          <w:szCs w:val="28"/>
        </w:rPr>
      </w:pPr>
      <w:r>
        <w:rPr>
          <w:b/>
          <w:sz w:val="28"/>
          <w:szCs w:val="28"/>
        </w:rPr>
        <w:t>Politique sur les services de représentation</w:t>
      </w:r>
    </w:p>
    <w:p w14:paraId="54F5515D" w14:textId="2E8FC327" w:rsidR="00F520C3" w:rsidRDefault="00000000">
      <w:pPr>
        <w:spacing w:before="240" w:after="240"/>
        <w:jc w:val="center"/>
        <w:rPr>
          <w:b/>
          <w:sz w:val="24"/>
          <w:szCs w:val="24"/>
        </w:rPr>
      </w:pPr>
      <w:r>
        <w:rPr>
          <w:b/>
          <w:sz w:val="24"/>
          <w:szCs w:val="24"/>
        </w:rPr>
        <w:t xml:space="preserve">En vigueur depuis : </w:t>
      </w:r>
      <w:r w:rsidR="00591340">
        <w:rPr>
          <w:b/>
          <w:sz w:val="24"/>
          <w:szCs w:val="24"/>
        </w:rPr>
        <w:t>23 août 2023</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656"/>
        <w:gridCol w:w="6704"/>
      </w:tblGrid>
      <w:tr w:rsidR="00F520C3" w14:paraId="2D8AA1F4" w14:textId="77777777">
        <w:trPr>
          <w:trHeight w:val="625"/>
        </w:trPr>
        <w:tc>
          <w:tcPr>
            <w:tcW w:w="2656" w:type="dxa"/>
            <w:tcBorders>
              <w:top w:val="single" w:sz="8" w:space="0" w:color="000000"/>
              <w:left w:val="nil"/>
              <w:bottom w:val="single" w:sz="8" w:space="0" w:color="000000"/>
              <w:right w:val="nil"/>
            </w:tcBorders>
            <w:tcMar>
              <w:top w:w="100" w:type="dxa"/>
              <w:left w:w="100" w:type="dxa"/>
              <w:bottom w:w="100" w:type="dxa"/>
              <w:right w:w="100" w:type="dxa"/>
            </w:tcMar>
          </w:tcPr>
          <w:p w14:paraId="623F36FF" w14:textId="77777777" w:rsidR="00F520C3" w:rsidRDefault="00000000">
            <w:pPr>
              <w:spacing w:before="120" w:after="0"/>
              <w:ind w:left="360"/>
              <w:rPr>
                <w:b/>
                <w:sz w:val="24"/>
                <w:szCs w:val="24"/>
              </w:rPr>
            </w:pPr>
            <w:r>
              <w:rPr>
                <w:b/>
                <w:sz w:val="24"/>
                <w:szCs w:val="24"/>
              </w:rPr>
              <w:t>1.</w:t>
            </w:r>
            <w:r>
              <w:rPr>
                <w:sz w:val="14"/>
                <w:szCs w:val="14"/>
              </w:rPr>
              <w:t xml:space="preserve">   </w:t>
            </w:r>
            <w:r>
              <w:rPr>
                <w:sz w:val="14"/>
                <w:szCs w:val="14"/>
              </w:rPr>
              <w:tab/>
            </w:r>
            <w:r>
              <w:rPr>
                <w:b/>
                <w:sz w:val="24"/>
                <w:szCs w:val="24"/>
              </w:rPr>
              <w:t>But et portée</w:t>
            </w:r>
          </w:p>
        </w:tc>
        <w:tc>
          <w:tcPr>
            <w:tcW w:w="6703" w:type="dxa"/>
            <w:tcBorders>
              <w:top w:val="single" w:sz="8" w:space="0" w:color="000000"/>
              <w:left w:val="nil"/>
              <w:bottom w:val="single" w:sz="8" w:space="0" w:color="000000"/>
              <w:right w:val="nil"/>
            </w:tcBorders>
            <w:tcMar>
              <w:top w:w="100" w:type="dxa"/>
              <w:left w:w="100" w:type="dxa"/>
              <w:bottom w:w="100" w:type="dxa"/>
              <w:right w:w="100" w:type="dxa"/>
            </w:tcMar>
          </w:tcPr>
          <w:p w14:paraId="2E2DC927" w14:textId="77777777" w:rsidR="00F520C3" w:rsidRDefault="00000000">
            <w:pPr>
              <w:spacing w:before="120" w:after="0"/>
              <w:rPr>
                <w:sz w:val="24"/>
                <w:szCs w:val="24"/>
              </w:rPr>
            </w:pPr>
            <w:r>
              <w:rPr>
                <w:sz w:val="24"/>
                <w:szCs w:val="24"/>
              </w:rPr>
              <w:t>Orienter le travail de représentation des membres.</w:t>
            </w:r>
          </w:p>
        </w:tc>
      </w:tr>
      <w:tr w:rsidR="00F520C3" w14:paraId="68E91EA4" w14:textId="77777777">
        <w:trPr>
          <w:trHeight w:val="2455"/>
        </w:trPr>
        <w:tc>
          <w:tcPr>
            <w:tcW w:w="2656" w:type="dxa"/>
            <w:tcBorders>
              <w:top w:val="nil"/>
              <w:left w:val="nil"/>
              <w:bottom w:val="single" w:sz="8" w:space="0" w:color="000000"/>
              <w:right w:val="nil"/>
            </w:tcBorders>
            <w:tcMar>
              <w:top w:w="100" w:type="dxa"/>
              <w:left w:w="100" w:type="dxa"/>
              <w:bottom w:w="100" w:type="dxa"/>
              <w:right w:w="100" w:type="dxa"/>
            </w:tcMar>
          </w:tcPr>
          <w:p w14:paraId="3A73DDBD" w14:textId="77777777" w:rsidR="00F520C3" w:rsidRDefault="00000000">
            <w:pPr>
              <w:spacing w:before="120" w:after="0"/>
              <w:ind w:left="360"/>
              <w:rPr>
                <w:b/>
                <w:sz w:val="24"/>
                <w:szCs w:val="24"/>
              </w:rPr>
            </w:pPr>
            <w:r>
              <w:rPr>
                <w:b/>
                <w:sz w:val="24"/>
                <w:szCs w:val="24"/>
              </w:rPr>
              <w:t>2.</w:t>
            </w:r>
            <w:r>
              <w:rPr>
                <w:sz w:val="14"/>
                <w:szCs w:val="14"/>
              </w:rPr>
              <w:t xml:space="preserve">      </w:t>
            </w:r>
            <w:r>
              <w:rPr>
                <w:b/>
                <w:sz w:val="24"/>
                <w:szCs w:val="24"/>
              </w:rPr>
              <w:t>Représentation par le personnel de l’Institut</w:t>
            </w:r>
          </w:p>
        </w:tc>
        <w:tc>
          <w:tcPr>
            <w:tcW w:w="6703" w:type="dxa"/>
            <w:tcBorders>
              <w:top w:val="nil"/>
              <w:left w:val="nil"/>
              <w:bottom w:val="single" w:sz="8" w:space="0" w:color="000000"/>
              <w:right w:val="nil"/>
            </w:tcBorders>
            <w:tcMar>
              <w:top w:w="100" w:type="dxa"/>
              <w:left w:w="100" w:type="dxa"/>
              <w:bottom w:w="100" w:type="dxa"/>
              <w:right w:w="100" w:type="dxa"/>
            </w:tcMar>
          </w:tcPr>
          <w:p w14:paraId="0A0E7C2C" w14:textId="77777777" w:rsidR="00F520C3" w:rsidRDefault="00000000">
            <w:pPr>
              <w:spacing w:before="120" w:after="0"/>
              <w:rPr>
                <w:sz w:val="24"/>
                <w:szCs w:val="24"/>
              </w:rPr>
            </w:pPr>
            <w:r>
              <w:rPr>
                <w:sz w:val="24"/>
                <w:szCs w:val="24"/>
              </w:rPr>
              <w:t>La représentation des membres relève d’abord du personnel de l’Institut, qui se fait aider des délégué(e)s syndicaux(‑ales), conformément aux statuts et politiques de l’Institut.</w:t>
            </w:r>
          </w:p>
          <w:p w14:paraId="68BE55A9" w14:textId="77777777" w:rsidR="00F520C3" w:rsidRDefault="00000000">
            <w:pPr>
              <w:spacing w:before="120" w:after="0"/>
              <w:rPr>
                <w:sz w:val="24"/>
                <w:szCs w:val="24"/>
              </w:rPr>
            </w:pPr>
            <w:r>
              <w:rPr>
                <w:sz w:val="24"/>
                <w:szCs w:val="24"/>
              </w:rPr>
              <w:t>La représentation devant les commissions et les tribunaux administratifs est assurée par des membres du personnel de l’Institut ou par des avocat(e)s engagé(e)s et dirigé(e)s par le bureau du (de la) conseiller(-ère) général(e) aux affaires juridiques.</w:t>
            </w:r>
          </w:p>
        </w:tc>
      </w:tr>
      <w:tr w:rsidR="00F520C3" w14:paraId="5395FF2D" w14:textId="77777777">
        <w:trPr>
          <w:trHeight w:val="1765"/>
        </w:trPr>
        <w:tc>
          <w:tcPr>
            <w:tcW w:w="2656" w:type="dxa"/>
            <w:tcBorders>
              <w:top w:val="nil"/>
              <w:left w:val="nil"/>
              <w:bottom w:val="single" w:sz="8" w:space="0" w:color="000000"/>
              <w:right w:val="nil"/>
            </w:tcBorders>
            <w:tcMar>
              <w:top w:w="100" w:type="dxa"/>
              <w:left w:w="100" w:type="dxa"/>
              <w:bottom w:w="100" w:type="dxa"/>
              <w:right w:w="100" w:type="dxa"/>
            </w:tcMar>
          </w:tcPr>
          <w:p w14:paraId="52496925" w14:textId="77777777" w:rsidR="00F520C3" w:rsidRDefault="00000000">
            <w:pPr>
              <w:spacing w:before="120" w:after="0"/>
              <w:ind w:left="360"/>
              <w:rPr>
                <w:b/>
                <w:sz w:val="24"/>
                <w:szCs w:val="24"/>
              </w:rPr>
            </w:pPr>
            <w:r>
              <w:rPr>
                <w:b/>
                <w:sz w:val="24"/>
                <w:szCs w:val="24"/>
              </w:rPr>
              <w:t>3.</w:t>
            </w:r>
            <w:r>
              <w:rPr>
                <w:sz w:val="14"/>
                <w:szCs w:val="14"/>
              </w:rPr>
              <w:t xml:space="preserve">      </w:t>
            </w:r>
            <w:r>
              <w:rPr>
                <w:b/>
                <w:sz w:val="24"/>
                <w:szCs w:val="24"/>
              </w:rPr>
              <w:t>Admissibilité à la représentation</w:t>
            </w:r>
          </w:p>
        </w:tc>
        <w:tc>
          <w:tcPr>
            <w:tcW w:w="6703" w:type="dxa"/>
            <w:tcBorders>
              <w:top w:val="nil"/>
              <w:left w:val="nil"/>
              <w:bottom w:val="single" w:sz="8" w:space="0" w:color="000000"/>
              <w:right w:val="nil"/>
            </w:tcBorders>
            <w:tcMar>
              <w:top w:w="100" w:type="dxa"/>
              <w:left w:w="100" w:type="dxa"/>
              <w:bottom w:w="100" w:type="dxa"/>
              <w:right w:w="100" w:type="dxa"/>
            </w:tcMar>
          </w:tcPr>
          <w:p w14:paraId="65539C09" w14:textId="77777777" w:rsidR="00F520C3" w:rsidRDefault="00000000">
            <w:pPr>
              <w:spacing w:before="120" w:after="0"/>
              <w:rPr>
                <w:sz w:val="24"/>
                <w:szCs w:val="24"/>
              </w:rPr>
            </w:pPr>
            <w:r>
              <w:rPr>
                <w:sz w:val="24"/>
                <w:szCs w:val="24"/>
              </w:rPr>
              <w:t>Les membres qui veulent contester une décision ou une mesure prise par leur employeur à leur endroit peuvent demander à l’Institut de les représenter. Chaque demande est soumise aux restrictions ci-dessous et étudiée pour établir son bien-fondé et les circonstances l’entourant avant d’être acceptée.</w:t>
            </w:r>
          </w:p>
        </w:tc>
      </w:tr>
      <w:tr w:rsidR="00F520C3" w14:paraId="7D4A39CA" w14:textId="77777777">
        <w:trPr>
          <w:trHeight w:val="5740"/>
        </w:trPr>
        <w:tc>
          <w:tcPr>
            <w:tcW w:w="2656" w:type="dxa"/>
            <w:tcBorders>
              <w:top w:val="nil"/>
              <w:left w:val="nil"/>
              <w:bottom w:val="single" w:sz="8" w:space="0" w:color="000000"/>
              <w:right w:val="nil"/>
            </w:tcBorders>
            <w:tcMar>
              <w:top w:w="100" w:type="dxa"/>
              <w:left w:w="100" w:type="dxa"/>
              <w:bottom w:w="100" w:type="dxa"/>
              <w:right w:w="100" w:type="dxa"/>
            </w:tcMar>
          </w:tcPr>
          <w:p w14:paraId="3C6B4F7E" w14:textId="77777777" w:rsidR="00F520C3" w:rsidRDefault="00000000">
            <w:pPr>
              <w:spacing w:before="120" w:after="0"/>
              <w:ind w:left="360"/>
              <w:rPr>
                <w:b/>
                <w:sz w:val="24"/>
                <w:szCs w:val="24"/>
              </w:rPr>
            </w:pPr>
            <w:r>
              <w:rPr>
                <w:b/>
                <w:sz w:val="24"/>
                <w:szCs w:val="24"/>
              </w:rPr>
              <w:lastRenderedPageBreak/>
              <w:t>4.</w:t>
            </w:r>
            <w:r>
              <w:rPr>
                <w:sz w:val="14"/>
                <w:szCs w:val="14"/>
              </w:rPr>
              <w:t xml:space="preserve">      </w:t>
            </w:r>
            <w:r>
              <w:rPr>
                <w:b/>
                <w:sz w:val="24"/>
                <w:szCs w:val="24"/>
              </w:rPr>
              <w:t>Affaires exclues de la représentation</w:t>
            </w:r>
          </w:p>
        </w:tc>
        <w:tc>
          <w:tcPr>
            <w:tcW w:w="6703" w:type="dxa"/>
            <w:tcBorders>
              <w:top w:val="nil"/>
              <w:left w:val="nil"/>
              <w:bottom w:val="single" w:sz="8" w:space="0" w:color="000000"/>
              <w:right w:val="nil"/>
            </w:tcBorders>
            <w:tcMar>
              <w:top w:w="100" w:type="dxa"/>
              <w:left w:w="100" w:type="dxa"/>
              <w:bottom w:w="100" w:type="dxa"/>
              <w:right w:w="100" w:type="dxa"/>
            </w:tcMar>
          </w:tcPr>
          <w:p w14:paraId="7BD56F0F" w14:textId="77777777" w:rsidR="00F520C3" w:rsidRDefault="00000000">
            <w:pPr>
              <w:spacing w:before="120" w:after="0"/>
              <w:rPr>
                <w:sz w:val="24"/>
                <w:szCs w:val="24"/>
              </w:rPr>
            </w:pPr>
            <w:r>
              <w:rPr>
                <w:sz w:val="24"/>
                <w:szCs w:val="24"/>
              </w:rPr>
              <w:t>L’Institut ne représente pas ses membres au civil ni au criminel.</w:t>
            </w:r>
          </w:p>
          <w:p w14:paraId="46128DEE" w14:textId="77777777" w:rsidR="00F520C3" w:rsidRDefault="00000000">
            <w:pPr>
              <w:spacing w:before="120" w:after="0"/>
              <w:rPr>
                <w:sz w:val="24"/>
                <w:szCs w:val="24"/>
              </w:rPr>
            </w:pPr>
            <w:r>
              <w:rPr>
                <w:sz w:val="24"/>
                <w:szCs w:val="24"/>
              </w:rPr>
              <w:t>L’Institut ne représente pas ses membres dans des affaires qui ne résultent pas de l’application ou de l’interprétation d’une convention collective, de politiques de l’employeur, de mesures de dotation ou de lignes directrices en matière d’assurance et de sécurité au travail.</w:t>
            </w:r>
          </w:p>
          <w:p w14:paraId="50DBCA7D" w14:textId="77777777" w:rsidR="00F520C3" w:rsidRDefault="00000000">
            <w:pPr>
              <w:spacing w:before="120" w:after="0"/>
              <w:ind w:left="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Plus précisément, l’Institut ne représente pas les membres pour des questions d’assurance-emploi et d’accréditation ou de réglementation professionnelle, entre autres.</w:t>
            </w:r>
          </w:p>
          <w:p w14:paraId="1AF3EDE3" w14:textId="77777777" w:rsidR="00F520C3" w:rsidRDefault="00000000">
            <w:pPr>
              <w:spacing w:before="120" w:after="0"/>
              <w:ind w:left="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L’Institut ne représente pas les candidat(e)s retenu(e)s dont la nomination ou l’affectation est contestée dans le cadre d’un processus de dotation. Les membres qui en font la demande reçoivent toutefois de l’information sur leurs droits et d’autres sources d’information.</w:t>
            </w:r>
          </w:p>
          <w:p w14:paraId="1AF9D417" w14:textId="77777777" w:rsidR="00F520C3" w:rsidRDefault="00000000">
            <w:pPr>
              <w:spacing w:before="120" w:after="0"/>
              <w:rPr>
                <w:sz w:val="24"/>
                <w:szCs w:val="24"/>
              </w:rPr>
            </w:pPr>
            <w:r>
              <w:rPr>
                <w:sz w:val="24"/>
                <w:szCs w:val="24"/>
              </w:rPr>
              <w:t>L’Institut ne donne aucun service de représentation aux membres qui choisissent de s’autoreprésenter ou de se représenter avec l’aide d’un(e) conseiller(‑ère) juridique qu’ils (elles) auront personnellement engagé(e) dans une affaire ne relevant pas de l’interprétation ou de l’application d’une convention collective.</w:t>
            </w:r>
          </w:p>
        </w:tc>
      </w:tr>
      <w:tr w:rsidR="00F520C3" w14:paraId="15E5168C" w14:textId="77777777">
        <w:trPr>
          <w:trHeight w:val="3730"/>
        </w:trPr>
        <w:tc>
          <w:tcPr>
            <w:tcW w:w="2656" w:type="dxa"/>
            <w:tcBorders>
              <w:top w:val="nil"/>
              <w:left w:val="nil"/>
              <w:bottom w:val="single" w:sz="8" w:space="0" w:color="000000"/>
              <w:right w:val="nil"/>
            </w:tcBorders>
            <w:tcMar>
              <w:top w:w="100" w:type="dxa"/>
              <w:left w:w="100" w:type="dxa"/>
              <w:bottom w:w="100" w:type="dxa"/>
              <w:right w:w="100" w:type="dxa"/>
            </w:tcMar>
          </w:tcPr>
          <w:p w14:paraId="2397E682" w14:textId="77777777" w:rsidR="00F520C3" w:rsidRDefault="00000000">
            <w:pPr>
              <w:spacing w:before="120" w:after="0"/>
              <w:ind w:left="360"/>
              <w:rPr>
                <w:b/>
                <w:sz w:val="24"/>
                <w:szCs w:val="24"/>
              </w:rPr>
            </w:pPr>
            <w:r>
              <w:rPr>
                <w:b/>
                <w:sz w:val="24"/>
                <w:szCs w:val="24"/>
              </w:rPr>
              <w:t>5.</w:t>
            </w:r>
            <w:r>
              <w:rPr>
                <w:sz w:val="14"/>
                <w:szCs w:val="14"/>
              </w:rPr>
              <w:t xml:space="preserve">       </w:t>
            </w:r>
            <w:r>
              <w:rPr>
                <w:b/>
                <w:sz w:val="24"/>
                <w:szCs w:val="24"/>
              </w:rPr>
              <w:t>Griefs</w:t>
            </w:r>
          </w:p>
        </w:tc>
        <w:tc>
          <w:tcPr>
            <w:tcW w:w="6703" w:type="dxa"/>
            <w:tcBorders>
              <w:top w:val="nil"/>
              <w:left w:val="nil"/>
              <w:bottom w:val="single" w:sz="8" w:space="0" w:color="000000"/>
              <w:right w:val="nil"/>
            </w:tcBorders>
            <w:tcMar>
              <w:top w:w="100" w:type="dxa"/>
              <w:left w:w="100" w:type="dxa"/>
              <w:bottom w:w="100" w:type="dxa"/>
              <w:right w:w="100" w:type="dxa"/>
            </w:tcMar>
          </w:tcPr>
          <w:p w14:paraId="1572C0E7" w14:textId="77777777" w:rsidR="00F520C3" w:rsidRDefault="00000000">
            <w:pPr>
              <w:spacing w:before="120" w:after="0"/>
              <w:rPr>
                <w:sz w:val="24"/>
                <w:szCs w:val="24"/>
              </w:rPr>
            </w:pPr>
            <w:r>
              <w:rPr>
                <w:sz w:val="24"/>
                <w:szCs w:val="24"/>
              </w:rPr>
              <w:t>Lorsqu’en vertu de sa convention collective un(e) membre dépose un grief susceptible d’entraîner une décision d’arbitrage nuisible à son groupe ou aux membres de l’Institut en général, l’employé(e) délégué(e) de l’Institut, après avoir consulté le (la) président(e) du groupe concerné, présente une recommandation au (à la) président(e) de l’Institut, qui décide d’accueillir ou non le grief.</w:t>
            </w:r>
          </w:p>
          <w:p w14:paraId="6E5F0FD1" w14:textId="77777777" w:rsidR="00F520C3" w:rsidRDefault="00000000">
            <w:pPr>
              <w:spacing w:before="120" w:after="0"/>
              <w:rPr>
                <w:sz w:val="24"/>
                <w:szCs w:val="24"/>
              </w:rPr>
            </w:pPr>
            <w:r>
              <w:rPr>
                <w:sz w:val="24"/>
                <w:szCs w:val="24"/>
              </w:rPr>
              <w:t>L’exécutif d’un groupe a le droit d’être informé des plaintes et des griefs déposés officiellement par ses membres.</w:t>
            </w:r>
          </w:p>
          <w:p w14:paraId="4FEEC414" w14:textId="77777777" w:rsidR="00F520C3" w:rsidRDefault="00000000">
            <w:pPr>
              <w:spacing w:before="120" w:after="0"/>
              <w:rPr>
                <w:sz w:val="24"/>
                <w:szCs w:val="24"/>
              </w:rPr>
            </w:pPr>
            <w:r>
              <w:rPr>
                <w:sz w:val="24"/>
                <w:szCs w:val="24"/>
              </w:rPr>
              <w:t>Lorsque l’Institut diffuse de l’information sur des griefs, tous les détails pouvant identifier les plaignant(e)s ou le lieu des griefs sont protégés et ne sont divulgués qu’avec le consentement écrit des plaignant(e)s.</w:t>
            </w:r>
          </w:p>
        </w:tc>
      </w:tr>
      <w:tr w:rsidR="00F520C3" w14:paraId="66B40EAD" w14:textId="77777777">
        <w:trPr>
          <w:trHeight w:val="1195"/>
        </w:trPr>
        <w:tc>
          <w:tcPr>
            <w:tcW w:w="2656" w:type="dxa"/>
            <w:tcBorders>
              <w:top w:val="nil"/>
              <w:left w:val="nil"/>
              <w:bottom w:val="single" w:sz="8" w:space="0" w:color="000000"/>
              <w:right w:val="nil"/>
            </w:tcBorders>
            <w:tcMar>
              <w:top w:w="100" w:type="dxa"/>
              <w:left w:w="100" w:type="dxa"/>
              <w:bottom w:w="100" w:type="dxa"/>
              <w:right w:w="100" w:type="dxa"/>
            </w:tcMar>
          </w:tcPr>
          <w:p w14:paraId="109EC630" w14:textId="77777777" w:rsidR="00F520C3" w:rsidRDefault="00000000">
            <w:pPr>
              <w:spacing w:before="120" w:after="0"/>
              <w:ind w:left="360"/>
              <w:rPr>
                <w:b/>
                <w:sz w:val="24"/>
                <w:szCs w:val="24"/>
              </w:rPr>
            </w:pPr>
            <w:r>
              <w:rPr>
                <w:b/>
                <w:sz w:val="24"/>
                <w:szCs w:val="24"/>
              </w:rPr>
              <w:lastRenderedPageBreak/>
              <w:t>6.</w:t>
            </w:r>
            <w:r>
              <w:rPr>
                <w:sz w:val="14"/>
                <w:szCs w:val="14"/>
              </w:rPr>
              <w:t xml:space="preserve">       </w:t>
            </w:r>
            <w:r>
              <w:rPr>
                <w:b/>
                <w:sz w:val="24"/>
                <w:szCs w:val="24"/>
              </w:rPr>
              <w:t>Griefs de principe</w:t>
            </w:r>
          </w:p>
        </w:tc>
        <w:tc>
          <w:tcPr>
            <w:tcW w:w="6703" w:type="dxa"/>
            <w:tcBorders>
              <w:top w:val="nil"/>
              <w:left w:val="nil"/>
              <w:bottom w:val="single" w:sz="8" w:space="0" w:color="000000"/>
              <w:right w:val="nil"/>
            </w:tcBorders>
            <w:tcMar>
              <w:top w:w="100" w:type="dxa"/>
              <w:left w:w="100" w:type="dxa"/>
              <w:bottom w:w="100" w:type="dxa"/>
              <w:right w:w="100" w:type="dxa"/>
            </w:tcMar>
          </w:tcPr>
          <w:p w14:paraId="3625E44C" w14:textId="5C3E864F" w:rsidR="00F520C3" w:rsidRDefault="00000000">
            <w:pPr>
              <w:spacing w:before="120" w:after="0"/>
              <w:rPr>
                <w:sz w:val="24"/>
                <w:szCs w:val="24"/>
              </w:rPr>
            </w:pPr>
            <w:r>
              <w:rPr>
                <w:sz w:val="24"/>
                <w:szCs w:val="24"/>
              </w:rPr>
              <w:t>Les griefs de principe doivent être approuvés par le (la) conseiller(-ère) général(e) aux affaires juridiques.</w:t>
            </w:r>
            <w:r w:rsidR="00591340">
              <w:rPr>
                <w:sz w:val="24"/>
                <w:szCs w:val="24"/>
              </w:rPr>
              <w:t xml:space="preserve"> </w:t>
            </w:r>
            <w:r w:rsidR="00591340" w:rsidRPr="00591340">
              <w:rPr>
                <w:b/>
                <w:bCs/>
              </w:rPr>
              <w:t>(CA - 23août2023)</w:t>
            </w:r>
          </w:p>
        </w:tc>
      </w:tr>
      <w:tr w:rsidR="00F520C3" w14:paraId="5114D358" w14:textId="77777777">
        <w:trPr>
          <w:trHeight w:val="2335"/>
        </w:trPr>
        <w:tc>
          <w:tcPr>
            <w:tcW w:w="2656" w:type="dxa"/>
            <w:tcBorders>
              <w:top w:val="nil"/>
              <w:left w:val="nil"/>
              <w:bottom w:val="single" w:sz="8" w:space="0" w:color="000000"/>
              <w:right w:val="nil"/>
            </w:tcBorders>
            <w:tcMar>
              <w:top w:w="100" w:type="dxa"/>
              <w:left w:w="100" w:type="dxa"/>
              <w:bottom w:w="100" w:type="dxa"/>
              <w:right w:w="100" w:type="dxa"/>
            </w:tcMar>
          </w:tcPr>
          <w:p w14:paraId="24A3DF3C" w14:textId="77777777" w:rsidR="00F520C3" w:rsidRDefault="00000000">
            <w:pPr>
              <w:spacing w:before="120" w:after="0"/>
              <w:ind w:left="360"/>
              <w:rPr>
                <w:b/>
                <w:sz w:val="24"/>
                <w:szCs w:val="24"/>
              </w:rPr>
            </w:pPr>
            <w:r>
              <w:rPr>
                <w:b/>
                <w:sz w:val="24"/>
                <w:szCs w:val="24"/>
              </w:rPr>
              <w:t>7.</w:t>
            </w:r>
            <w:r>
              <w:rPr>
                <w:sz w:val="14"/>
                <w:szCs w:val="14"/>
              </w:rPr>
              <w:t xml:space="preserve">       </w:t>
            </w:r>
            <w:r>
              <w:rPr>
                <w:b/>
                <w:sz w:val="24"/>
                <w:szCs w:val="24"/>
              </w:rPr>
              <w:t>Présence des plaignant(e)s</w:t>
            </w:r>
          </w:p>
        </w:tc>
        <w:tc>
          <w:tcPr>
            <w:tcW w:w="6703" w:type="dxa"/>
            <w:tcBorders>
              <w:top w:val="nil"/>
              <w:left w:val="nil"/>
              <w:bottom w:val="single" w:sz="8" w:space="0" w:color="000000"/>
              <w:right w:val="nil"/>
            </w:tcBorders>
            <w:tcMar>
              <w:top w:w="100" w:type="dxa"/>
              <w:left w:w="100" w:type="dxa"/>
              <w:bottom w:w="100" w:type="dxa"/>
              <w:right w:w="100" w:type="dxa"/>
            </w:tcMar>
          </w:tcPr>
          <w:p w14:paraId="3DB7D936" w14:textId="77777777" w:rsidR="00F520C3" w:rsidRDefault="00000000">
            <w:pPr>
              <w:spacing w:before="120" w:after="0"/>
              <w:rPr>
                <w:sz w:val="24"/>
                <w:szCs w:val="24"/>
              </w:rPr>
            </w:pPr>
            <w:r>
              <w:rPr>
                <w:sz w:val="24"/>
                <w:szCs w:val="24"/>
              </w:rPr>
              <w:t>Les plaignant(e)s peuvent assister à l’audition de leur grief ou de leur plainte et d’autres processus administratifs en personne, par téléphone ou par vidéoconférence, à la discrétion de l’Institut et conformément aux règles de l’entité administrative compétente. Dans le cas d’un grief de principe ou d’un grief collectif, l’Institut détermine, s’il y a lieu, qui parmi ses membres assistera aux audiences aux frais de l’Institut. Tout voyage doit avoir été autorisé par l’Institut.</w:t>
            </w:r>
          </w:p>
        </w:tc>
      </w:tr>
      <w:tr w:rsidR="00F520C3" w14:paraId="7EF7C12D" w14:textId="77777777" w:rsidTr="00591340">
        <w:trPr>
          <w:trHeight w:val="9998"/>
        </w:trPr>
        <w:tc>
          <w:tcPr>
            <w:tcW w:w="2656" w:type="dxa"/>
            <w:tcBorders>
              <w:top w:val="nil"/>
              <w:left w:val="nil"/>
              <w:bottom w:val="single" w:sz="8" w:space="0" w:color="000000"/>
              <w:right w:val="nil"/>
            </w:tcBorders>
            <w:tcMar>
              <w:top w:w="100" w:type="dxa"/>
              <w:left w:w="100" w:type="dxa"/>
              <w:bottom w:w="100" w:type="dxa"/>
              <w:right w:w="100" w:type="dxa"/>
            </w:tcMar>
          </w:tcPr>
          <w:p w14:paraId="26FCB1EF" w14:textId="77777777" w:rsidR="00F520C3" w:rsidRDefault="00000000">
            <w:pPr>
              <w:spacing w:before="120" w:after="0"/>
              <w:ind w:left="360"/>
              <w:rPr>
                <w:b/>
                <w:sz w:val="24"/>
                <w:szCs w:val="24"/>
              </w:rPr>
            </w:pPr>
            <w:r>
              <w:rPr>
                <w:b/>
                <w:sz w:val="24"/>
                <w:szCs w:val="24"/>
              </w:rPr>
              <w:lastRenderedPageBreak/>
              <w:t>8.</w:t>
            </w:r>
            <w:r>
              <w:rPr>
                <w:sz w:val="14"/>
                <w:szCs w:val="14"/>
              </w:rPr>
              <w:t xml:space="preserve">      </w:t>
            </w:r>
            <w:r>
              <w:rPr>
                <w:b/>
                <w:sz w:val="24"/>
                <w:szCs w:val="24"/>
              </w:rPr>
              <w:t>Insatisfaction de plaignant(e)s</w:t>
            </w:r>
          </w:p>
        </w:tc>
        <w:tc>
          <w:tcPr>
            <w:tcW w:w="6703" w:type="dxa"/>
            <w:tcBorders>
              <w:top w:val="nil"/>
              <w:left w:val="nil"/>
              <w:bottom w:val="single" w:sz="8" w:space="0" w:color="000000"/>
              <w:right w:val="nil"/>
            </w:tcBorders>
            <w:tcMar>
              <w:top w:w="100" w:type="dxa"/>
              <w:left w:w="100" w:type="dxa"/>
              <w:bottom w:w="100" w:type="dxa"/>
              <w:right w:w="100" w:type="dxa"/>
            </w:tcMar>
          </w:tcPr>
          <w:p w14:paraId="4742E4EE" w14:textId="77777777" w:rsidR="00F520C3" w:rsidRDefault="00000000">
            <w:pPr>
              <w:spacing w:before="120" w:after="0"/>
              <w:rPr>
                <w:sz w:val="24"/>
                <w:szCs w:val="24"/>
              </w:rPr>
            </w:pPr>
            <w:r>
              <w:rPr>
                <w:sz w:val="24"/>
                <w:szCs w:val="24"/>
              </w:rPr>
              <w:t>Il arrive parfois qu’il y ait désaccord entre un membre et un employé de l’Institut quant au règlement du cas individuel de (de la) membre. Ce désaccord peut porter sur la stratégie à employer ou même sur la question à savoir s’il faut intervenir ou non, et ce, dans l’intérêt du (de la) membre ou au vu des risques éventuels aux intérêts et droits des autres membres.</w:t>
            </w:r>
          </w:p>
          <w:p w14:paraId="6C5566C2" w14:textId="77777777" w:rsidR="00F520C3" w:rsidRDefault="00000000">
            <w:pPr>
              <w:spacing w:before="120" w:after="0"/>
              <w:rPr>
                <w:sz w:val="24"/>
                <w:szCs w:val="24"/>
              </w:rPr>
            </w:pPr>
            <w:r>
              <w:rPr>
                <w:sz w:val="24"/>
                <w:szCs w:val="24"/>
              </w:rPr>
              <w:t>Lorsqu’un(e) membre et un(e) agent(e) de l’Institut sont en désaccord sur le traitement d’un cas, ils (elles) doivent tenter de régler leurs différends en tenant une discussion détaillée de l’affaire. L’agent(e) en question présente au (à la) membre les arguments justifiant la stratégie proposée, ainsi que la jurisprudence à l’appui. Le (la) membre à son tour présente à l’agent(e), par écrit, les raisons justifiant une approche différente pour traiter son cas.</w:t>
            </w:r>
          </w:p>
          <w:p w14:paraId="23541AB0" w14:textId="77777777" w:rsidR="00F520C3" w:rsidRDefault="00000000">
            <w:pPr>
              <w:spacing w:before="120" w:after="0"/>
              <w:rPr>
                <w:sz w:val="24"/>
                <w:szCs w:val="24"/>
              </w:rPr>
            </w:pPr>
            <w:r>
              <w:rPr>
                <w:sz w:val="24"/>
                <w:szCs w:val="24"/>
              </w:rPr>
              <w:t xml:space="preserve">En cas d’impasse entre le (la) membre et l’agent(e), la question est renvoyée au (à la) </w:t>
            </w:r>
            <w:proofErr w:type="gramStart"/>
            <w:r>
              <w:rPr>
                <w:sz w:val="24"/>
                <w:szCs w:val="24"/>
              </w:rPr>
              <w:t>directeur)-</w:t>
            </w:r>
            <w:proofErr w:type="spellStart"/>
            <w:proofErr w:type="gramEnd"/>
            <w:r>
              <w:rPr>
                <w:sz w:val="24"/>
                <w:szCs w:val="24"/>
              </w:rPr>
              <w:t>trice</w:t>
            </w:r>
            <w:proofErr w:type="spellEnd"/>
            <w:r>
              <w:rPr>
                <w:sz w:val="24"/>
                <w:szCs w:val="24"/>
              </w:rPr>
              <w:t>) des relations du travail régionales ou, s’il s’agit d’une question de classification, au (à la) directeur(-</w:t>
            </w:r>
            <w:proofErr w:type="spellStart"/>
            <w:r>
              <w:rPr>
                <w:sz w:val="24"/>
                <w:szCs w:val="24"/>
              </w:rPr>
              <w:t>trice</w:t>
            </w:r>
            <w:proofErr w:type="spellEnd"/>
            <w:r>
              <w:rPr>
                <w:sz w:val="24"/>
                <w:szCs w:val="24"/>
              </w:rPr>
              <w:t>) des relations du travail nationales, accompagnée de l’argumentation juridique et syndicale et des positions du (de la) membre en cause et de l’agent(e) responsable.</w:t>
            </w:r>
          </w:p>
          <w:p w14:paraId="6C908F4D" w14:textId="22D8DB3A" w:rsidR="00F520C3" w:rsidRPr="00591340" w:rsidRDefault="00000000">
            <w:pPr>
              <w:spacing w:before="120" w:after="0"/>
              <w:rPr>
                <w:iCs/>
                <w:sz w:val="24"/>
                <w:szCs w:val="24"/>
              </w:rPr>
            </w:pPr>
            <w:r>
              <w:rPr>
                <w:sz w:val="24"/>
                <w:szCs w:val="24"/>
              </w:rPr>
              <w:t>En cas d’impasse entre le (la) directeur(-</w:t>
            </w:r>
            <w:proofErr w:type="spellStart"/>
            <w:r>
              <w:rPr>
                <w:sz w:val="24"/>
                <w:szCs w:val="24"/>
              </w:rPr>
              <w:t>trice</w:t>
            </w:r>
            <w:proofErr w:type="spellEnd"/>
            <w:r>
              <w:rPr>
                <w:sz w:val="24"/>
                <w:szCs w:val="24"/>
              </w:rPr>
              <w:t>) des relations du travail régionales ou le (la) directeur(-</w:t>
            </w:r>
            <w:proofErr w:type="spellStart"/>
            <w:r>
              <w:rPr>
                <w:sz w:val="24"/>
                <w:szCs w:val="24"/>
              </w:rPr>
              <w:t>trice</w:t>
            </w:r>
            <w:proofErr w:type="spellEnd"/>
            <w:r>
              <w:rPr>
                <w:sz w:val="24"/>
                <w:szCs w:val="24"/>
              </w:rPr>
              <w:t>) des relations du travail nationales et le (la) membre, l’affaire sera renvoyée au (à la) conseiller(-ère) général(e) (CG) qui mènera une enquête. Le (la) membre aura la chance de faire une plaidoirie devant le (la) CG avant que celui-ci (celle-ci) envoie sa décision au (à la) président(e). Le (la) CG préparera alors une analyse de la situation et donnera une recommandation appropriée au (à la) président(e). L’analyse et la recommandation ne seront pas transmises au (à la) membre. Dans son examen du dossier et sa recommandation, le (la) CG se fondera sur le devoir inhérent de</w:t>
            </w:r>
            <w:r>
              <w:rPr>
                <w:i/>
                <w:sz w:val="24"/>
                <w:szCs w:val="24"/>
              </w:rPr>
              <w:t xml:space="preserve"> juste représentation.</w:t>
            </w:r>
            <w:r w:rsidR="00591340">
              <w:rPr>
                <w:i/>
                <w:sz w:val="24"/>
                <w:szCs w:val="24"/>
              </w:rPr>
              <w:t xml:space="preserve"> </w:t>
            </w:r>
          </w:p>
          <w:p w14:paraId="00D6741D" w14:textId="745F0407" w:rsidR="00F520C3" w:rsidRDefault="00000000">
            <w:pPr>
              <w:spacing w:before="120" w:after="0"/>
              <w:rPr>
                <w:sz w:val="24"/>
                <w:szCs w:val="24"/>
              </w:rPr>
            </w:pPr>
            <w:r>
              <w:rPr>
                <w:sz w:val="24"/>
                <w:szCs w:val="24"/>
              </w:rPr>
              <w:lastRenderedPageBreak/>
              <w:t xml:space="preserve">Le (la) président(e) examinera la recommandation du (de la) </w:t>
            </w:r>
            <w:r w:rsidR="0075350D">
              <w:rPr>
                <w:sz w:val="24"/>
                <w:szCs w:val="24"/>
              </w:rPr>
              <w:t xml:space="preserve">CG et </w:t>
            </w:r>
            <w:r>
              <w:rPr>
                <w:sz w:val="24"/>
                <w:szCs w:val="24"/>
              </w:rPr>
              <w:t>rendra une décision. Cette décision sera finale et sera transmise au membre en cause et à l’employé de l’Institut, le cas échéant.</w:t>
            </w:r>
            <w:r w:rsidR="00591340">
              <w:rPr>
                <w:sz w:val="24"/>
                <w:szCs w:val="24"/>
              </w:rPr>
              <w:t xml:space="preserve"> </w:t>
            </w:r>
            <w:r w:rsidR="00591340" w:rsidRPr="00544ECB">
              <w:rPr>
                <w:b/>
                <w:bCs/>
                <w:lang w:val="en-US"/>
              </w:rPr>
              <w:t>(CA - 23août2023)</w:t>
            </w:r>
          </w:p>
          <w:p w14:paraId="3E3128D1" w14:textId="77777777" w:rsidR="00F520C3" w:rsidRDefault="00000000">
            <w:pPr>
              <w:spacing w:before="120" w:after="0"/>
              <w:rPr>
                <w:sz w:val="24"/>
                <w:szCs w:val="24"/>
              </w:rPr>
            </w:pPr>
            <w:r>
              <w:rPr>
                <w:sz w:val="24"/>
                <w:szCs w:val="24"/>
              </w:rPr>
              <w:t xml:space="preserve"> </w:t>
            </w:r>
          </w:p>
        </w:tc>
      </w:tr>
      <w:tr w:rsidR="00F520C3" w14:paraId="6677FBBD" w14:textId="77777777">
        <w:trPr>
          <w:trHeight w:val="625"/>
        </w:trPr>
        <w:tc>
          <w:tcPr>
            <w:tcW w:w="2656" w:type="dxa"/>
            <w:tcBorders>
              <w:top w:val="nil"/>
              <w:left w:val="nil"/>
              <w:bottom w:val="single" w:sz="8" w:space="0" w:color="000000"/>
              <w:right w:val="nil"/>
            </w:tcBorders>
            <w:tcMar>
              <w:top w:w="100" w:type="dxa"/>
              <w:left w:w="100" w:type="dxa"/>
              <w:bottom w:w="100" w:type="dxa"/>
              <w:right w:w="100" w:type="dxa"/>
            </w:tcMar>
          </w:tcPr>
          <w:p w14:paraId="01BACC32" w14:textId="77777777" w:rsidR="00F520C3" w:rsidRDefault="00000000">
            <w:pPr>
              <w:spacing w:before="120" w:after="0"/>
              <w:ind w:left="360"/>
              <w:rPr>
                <w:b/>
                <w:sz w:val="24"/>
                <w:szCs w:val="24"/>
              </w:rPr>
            </w:pPr>
            <w:r>
              <w:rPr>
                <w:b/>
                <w:sz w:val="24"/>
                <w:szCs w:val="24"/>
              </w:rPr>
              <w:lastRenderedPageBreak/>
              <w:t>9.</w:t>
            </w:r>
            <w:r>
              <w:rPr>
                <w:sz w:val="14"/>
                <w:szCs w:val="14"/>
              </w:rPr>
              <w:t xml:space="preserve">       </w:t>
            </w:r>
            <w:r>
              <w:rPr>
                <w:b/>
                <w:sz w:val="24"/>
                <w:szCs w:val="24"/>
              </w:rPr>
              <w:t>Références</w:t>
            </w:r>
          </w:p>
        </w:tc>
        <w:tc>
          <w:tcPr>
            <w:tcW w:w="6703" w:type="dxa"/>
            <w:tcBorders>
              <w:top w:val="nil"/>
              <w:left w:val="nil"/>
              <w:bottom w:val="single" w:sz="8" w:space="0" w:color="000000"/>
              <w:right w:val="nil"/>
            </w:tcBorders>
            <w:tcMar>
              <w:top w:w="100" w:type="dxa"/>
              <w:left w:w="100" w:type="dxa"/>
              <w:bottom w:w="100" w:type="dxa"/>
              <w:right w:w="100" w:type="dxa"/>
            </w:tcMar>
          </w:tcPr>
          <w:p w14:paraId="76383C8E" w14:textId="77777777" w:rsidR="00F520C3" w:rsidRDefault="00000000">
            <w:pPr>
              <w:spacing w:before="120" w:after="0"/>
              <w:rPr>
                <w:sz w:val="24"/>
                <w:szCs w:val="24"/>
              </w:rPr>
            </w:pPr>
            <w:r>
              <w:rPr>
                <w:sz w:val="24"/>
                <w:szCs w:val="24"/>
              </w:rPr>
              <w:t xml:space="preserve"> </w:t>
            </w:r>
          </w:p>
        </w:tc>
      </w:tr>
    </w:tbl>
    <w:p w14:paraId="778043C7" w14:textId="6C4C09C2" w:rsidR="00F520C3" w:rsidRDefault="00000000" w:rsidP="00591340">
      <w:pPr>
        <w:spacing w:before="240" w:after="240"/>
        <w:rPr>
          <w:sz w:val="24"/>
          <w:szCs w:val="24"/>
        </w:rPr>
      </w:pPr>
      <w:r>
        <w:rPr>
          <w:sz w:val="24"/>
          <w:szCs w:val="24"/>
        </w:rPr>
        <w:t xml:space="preserve"> </w:t>
      </w:r>
    </w:p>
    <w:sectPr w:rsidR="00F520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D2F8" w14:textId="77777777" w:rsidR="009E1817" w:rsidRDefault="009E1817">
      <w:pPr>
        <w:spacing w:after="0" w:line="240" w:lineRule="auto"/>
      </w:pPr>
      <w:r>
        <w:separator/>
      </w:r>
    </w:p>
  </w:endnote>
  <w:endnote w:type="continuationSeparator" w:id="0">
    <w:p w14:paraId="780E287B" w14:textId="77777777" w:rsidR="009E1817" w:rsidRDefault="009E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31D1" w14:textId="77777777" w:rsidR="00F520C3" w:rsidRDefault="00F520C3">
    <w:pPr>
      <w:pBdr>
        <w:top w:val="nil"/>
        <w:left w:val="nil"/>
        <w:bottom w:val="nil"/>
        <w:right w:val="nil"/>
        <w:between w:val="nil"/>
      </w:pBdr>
      <w:tabs>
        <w:tab w:val="center" w:pos="4680"/>
        <w:tab w:val="right" w:pos="9360"/>
      </w:tabs>
      <w:spacing w:after="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4E1B" w14:textId="3C1F40D4" w:rsidR="00F520C3"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b/>
        <w:color w:val="000000"/>
        <w:sz w:val="20"/>
        <w:szCs w:val="20"/>
      </w:rPr>
      <w:t>Manuel des politiques du Conseil</w:t>
    </w:r>
    <w:r>
      <w:rPr>
        <w:rFonts w:ascii="Calibri" w:hAnsi="Calibri"/>
        <w:b/>
        <w:color w:val="000000"/>
        <w:sz w:val="20"/>
        <w:szCs w:val="20"/>
      </w:rPr>
      <w:tab/>
    </w:r>
    <w:r>
      <w:rPr>
        <w:rFonts w:ascii="Calibri" w:hAnsi="Calibri"/>
        <w:b/>
        <w:color w:val="000000"/>
        <w:sz w:val="20"/>
        <w:szCs w:val="20"/>
      </w:rPr>
      <w:tab/>
      <w:t xml:space="preserve">Page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sidR="00375B5A">
      <w:rPr>
        <w:rFonts w:ascii="Calibri" w:hAnsi="Calibri"/>
        <w:noProof/>
        <w:color w:val="000000"/>
        <w:sz w:val="20"/>
        <w:szCs w:val="20"/>
      </w:rPr>
      <w:t>1</w:t>
    </w:r>
    <w:r>
      <w:rPr>
        <w:rFonts w:ascii="Calibri" w:hAnsi="Calibri"/>
        <w:color w:val="000000"/>
        <w:sz w:val="20"/>
        <w:szCs w:val="20"/>
      </w:rPr>
      <w:fldChar w:fldCharType="end"/>
    </w:r>
    <w:r>
      <w:rPr>
        <w:rFonts w:ascii="Calibri" w:hAnsi="Calibr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4C18" w14:textId="77777777" w:rsidR="00F520C3"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proofErr w:type="spellStart"/>
    <w:r>
      <w:rPr>
        <w:rFonts w:ascii="Calibri" w:hAnsi="Calibri"/>
        <w:color w:val="000000"/>
        <w:sz w:val="20"/>
        <w:szCs w:val="20"/>
      </w:rPr>
      <w:t>Board</w:t>
    </w:r>
    <w:proofErr w:type="spellEnd"/>
    <w:r>
      <w:rPr>
        <w:rFonts w:ascii="Calibri" w:hAnsi="Calibri"/>
        <w:color w:val="000000"/>
        <w:sz w:val="20"/>
        <w:szCs w:val="20"/>
      </w:rPr>
      <w:t xml:space="preserve">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Pr>
        <w:rFonts w:ascii="Calibri" w:hAnsi="Calibri"/>
        <w:color w:val="000000"/>
        <w:sz w:val="20"/>
        <w:szCs w:val="20"/>
      </w:rPr>
      <w:fldChar w:fldCharType="end"/>
    </w:r>
    <w:r>
      <w:rPr>
        <w:rFonts w:ascii="Calibri" w:hAnsi="Calibri"/>
        <w:color w:val="000000"/>
        <w:sz w:val="20"/>
        <w:szCs w:val="20"/>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4CDA" w14:textId="77777777" w:rsidR="009E1817" w:rsidRDefault="009E1817">
      <w:pPr>
        <w:spacing w:after="0" w:line="240" w:lineRule="auto"/>
      </w:pPr>
      <w:r>
        <w:separator/>
      </w:r>
    </w:p>
  </w:footnote>
  <w:footnote w:type="continuationSeparator" w:id="0">
    <w:p w14:paraId="266722D4" w14:textId="77777777" w:rsidR="009E1817" w:rsidRDefault="009E1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BE06" w14:textId="77777777" w:rsidR="00F520C3" w:rsidRDefault="00F520C3">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9536" w14:textId="77777777" w:rsidR="00F520C3"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rPr>
      <w:drawing>
        <wp:inline distT="0" distB="0" distL="0" distR="0" wp14:anchorId="6EA167D7" wp14:editId="411982CA">
          <wp:extent cx="4242879" cy="746584"/>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75753A2B" w14:textId="77777777" w:rsidR="00F520C3" w:rsidRDefault="00F520C3">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1167" w14:textId="77777777" w:rsidR="00F520C3" w:rsidRDefault="00F520C3">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0C3"/>
    <w:rsid w:val="00375B5A"/>
    <w:rsid w:val="00536450"/>
    <w:rsid w:val="00591340"/>
    <w:rsid w:val="0075350D"/>
    <w:rsid w:val="009E1817"/>
    <w:rsid w:val="00F5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7439"/>
  <w15:docId w15:val="{B081B9FC-6246-45C9-BCAD-1DEE7351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character" w:styleId="CommentReference">
    <w:name w:val="annotation reference"/>
    <w:basedOn w:val="DefaultParagraphFont"/>
    <w:uiPriority w:val="99"/>
    <w:semiHidden/>
    <w:unhideWhenUsed/>
    <w:rsid w:val="00010F1C"/>
    <w:rPr>
      <w:sz w:val="16"/>
      <w:szCs w:val="16"/>
    </w:rPr>
  </w:style>
  <w:style w:type="paragraph" w:styleId="CommentText">
    <w:name w:val="annotation text"/>
    <w:basedOn w:val="Normal"/>
    <w:link w:val="CommentTextChar"/>
    <w:uiPriority w:val="99"/>
    <w:semiHidden/>
    <w:unhideWhenUsed/>
    <w:rsid w:val="00010F1C"/>
    <w:pPr>
      <w:spacing w:line="240" w:lineRule="auto"/>
    </w:pPr>
    <w:rPr>
      <w:sz w:val="20"/>
      <w:szCs w:val="20"/>
    </w:rPr>
  </w:style>
  <w:style w:type="character" w:customStyle="1" w:styleId="CommentTextChar">
    <w:name w:val="Comment Text Char"/>
    <w:basedOn w:val="DefaultParagraphFont"/>
    <w:link w:val="CommentText"/>
    <w:uiPriority w:val="99"/>
    <w:semiHidden/>
    <w:rsid w:val="00010F1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10F1C"/>
    <w:rPr>
      <w:b/>
      <w:bCs/>
    </w:rPr>
  </w:style>
  <w:style w:type="character" w:customStyle="1" w:styleId="CommentSubjectChar">
    <w:name w:val="Comment Subject Char"/>
    <w:basedOn w:val="CommentTextChar"/>
    <w:link w:val="CommentSubject"/>
    <w:uiPriority w:val="99"/>
    <w:semiHidden/>
    <w:rsid w:val="00010F1C"/>
    <w:rPr>
      <w:rFonts w:asciiTheme="minorHAnsi" w:hAnsiTheme="minorHAns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375B5A"/>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0tELWu437u7oSaghIxL1sJMeFw==">AMUW2mUWtK2uyO2qfxwXr+lcWm3adY/3ty3HFb+ZU3t91Pa3riuLAZekmP6X0qKNEM357t+qDRbiy2z4WX1W5EI4YXR5/XwvZGOh9B+wPpbgkkzsz6HkDc4=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 Goddard</cp:lastModifiedBy>
  <cp:revision>3</cp:revision>
  <dcterms:created xsi:type="dcterms:W3CDTF">2021-02-04T18:58:00Z</dcterms:created>
  <dcterms:modified xsi:type="dcterms:W3CDTF">2023-09-07T19:27:00Z</dcterms:modified>
</cp:coreProperties>
</file>